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1" w:after="0"/>
        <w:ind w:left="0"/>
        <w:rPr>
          <w:rFonts w:ascii="Times New Roman" w:hAnsi="Times New Roman"/>
        </w:rPr>
      </w:pPr>
      <w:r>
        <w:rPr>
          <w:rFonts w:ascii="Times New Roman" w:hAnsi="Times New Roman"/>
        </w:rPr>
        <w:drawing>
          <wp:anchor behindDoc="0" distT="0" distB="0" distL="114300" distR="114300" simplePos="0" locked="0" layoutInCell="0" allowOverlap="0" relativeHeight="2">
            <wp:simplePos x="0" y="0"/>
            <wp:positionH relativeFrom="column">
              <wp:posOffset>2757170</wp:posOffset>
            </wp:positionH>
            <wp:positionV relativeFrom="page">
              <wp:posOffset>504825</wp:posOffset>
            </wp:positionV>
            <wp:extent cx="742950" cy="1104900"/>
            <wp:effectExtent l="0" t="0" r="0" b="0"/>
            <wp:wrapSquare wrapText="bothSides"/>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tretch>
                      <a:fillRect/>
                    </a:stretch>
                  </pic:blipFill>
                  <pic:spPr bwMode="auto">
                    <a:xfrm>
                      <a:off x="0" y="0"/>
                      <a:ext cx="742950" cy="1104900"/>
                    </a:xfrm>
                    <a:prstGeom prst="rect">
                      <a:avLst/>
                    </a:prstGeom>
                    <a:noFill/>
                  </pic:spPr>
                </pic:pic>
              </a:graphicData>
            </a:graphic>
          </wp:anchor>
        </w:drawing>
      </w:r>
    </w:p>
    <w:p>
      <w:pPr>
        <w:pStyle w:val="BodyText"/>
        <w:spacing w:before="1" w:after="0"/>
        <w:ind w:left="0"/>
        <w:rPr>
          <w:rFonts w:ascii="Times New Roman" w:hAnsi="Times New Roman"/>
        </w:rPr>
      </w:pPr>
      <w:r>
        <w:rPr>
          <w:rFonts w:ascii="Times New Roman" w:hAnsi="Times New Roman"/>
        </w:rPr>
      </w:r>
    </w:p>
    <w:p>
      <w:pPr>
        <w:pStyle w:val="BodyText"/>
        <w:spacing w:before="1" w:after="0"/>
        <w:ind w:left="0"/>
        <w:rPr>
          <w:rFonts w:ascii="Times New Roman" w:hAnsi="Times New Roman"/>
        </w:rPr>
      </w:pPr>
      <w:r>
        <w:rPr>
          <w:rFonts w:ascii="Times New Roman" w:hAnsi="Times New Roman"/>
        </w:rPr>
      </w:r>
    </w:p>
    <w:p>
      <w:pPr>
        <w:pStyle w:val="BodyText"/>
        <w:spacing w:before="1" w:after="0"/>
        <w:ind w:left="0"/>
        <w:rPr>
          <w:rFonts w:ascii="Times New Roman" w:hAnsi="Times New Roman"/>
        </w:rPr>
      </w:pPr>
      <w:r>
        <w:rPr>
          <w:rFonts w:ascii="Times New Roman" w:hAnsi="Times New Roman"/>
        </w:rPr>
      </w:r>
    </w:p>
    <w:p>
      <w:pPr>
        <w:pStyle w:val="BodyText"/>
        <w:spacing w:before="1" w:after="0"/>
        <w:ind w:left="0"/>
        <w:rPr>
          <w:rFonts w:ascii="Times New Roman" w:hAnsi="Times New Roman"/>
        </w:rPr>
      </w:pPr>
      <w:r>
        <w:rPr>
          <w:rFonts w:ascii="Times New Roman" w:hAnsi="Times New Roman"/>
        </w:rPr>
      </w:r>
    </w:p>
    <w:p>
      <w:pPr>
        <w:pStyle w:val="Titolo31"/>
        <w:keepNext w:val="true"/>
        <w:keepLines/>
        <w:shd w:val="clear" w:color="auto" w:fill="auto"/>
        <w:spacing w:lineRule="exact" w:line="250" w:before="120" w:after="0"/>
        <w:rPr>
          <w:sz w:val="30"/>
          <w:szCs w:val="30"/>
        </w:rPr>
      </w:pPr>
      <w:r>
        <w:rPr>
          <w:rFonts w:eastAsia="Calibri" w:cs="Times New Roman" w:ascii="Times New Roman" w:hAnsi="Times New Roman"/>
          <w:spacing w:val="-2"/>
          <w:sz w:val="30"/>
          <w:szCs w:val="30"/>
          <w:lang w:val="it-IT"/>
        </w:rPr>
        <w:t>CITTA’ DI TORRE DEL GRECO</w:t>
      </w:r>
    </w:p>
    <w:p>
      <w:pPr>
        <w:pStyle w:val="Titolo31"/>
        <w:keepNext w:val="true"/>
        <w:keepLines/>
        <w:shd w:val="clear" w:color="auto" w:fill="auto"/>
        <w:spacing w:lineRule="exact" w:line="250"/>
        <w:rPr>
          <w:rFonts w:ascii="Times New Roman" w:hAnsi="Times New Roman" w:eastAsia="Calibri" w:cs="Times New Roman"/>
          <w:b w:val="false"/>
          <w:i/>
          <w:i/>
          <w:iCs/>
          <w:spacing w:val="-2"/>
          <w:lang w:val="it-IT"/>
        </w:rPr>
      </w:pPr>
      <w:r>
        <w:rPr>
          <w:rFonts w:eastAsia="Calibri" w:cs="Times New Roman" w:ascii="Times New Roman" w:hAnsi="Times New Roman"/>
          <w:b w:val="false"/>
          <w:i/>
          <w:iCs/>
          <w:spacing w:val="-2"/>
          <w:lang w:val="it-IT"/>
        </w:rPr>
        <w:t>Città Metropolitana di Napoli</w:t>
      </w:r>
    </w:p>
    <w:p>
      <w:pPr>
        <w:pStyle w:val="Titolo31"/>
        <w:keepNext w:val="true"/>
        <w:keepLines/>
        <w:shd w:val="clear" w:color="auto" w:fill="auto"/>
        <w:spacing w:lineRule="exact" w:line="250"/>
        <w:rPr>
          <w:rFonts w:ascii="Times New Roman" w:hAnsi="Times New Roman" w:eastAsia="Calibri" w:cs="Times New Roman"/>
          <w:b w:val="false"/>
          <w:spacing w:val="-2"/>
          <w:sz w:val="32"/>
          <w:szCs w:val="32"/>
          <w:lang w:val="it-IT"/>
        </w:rPr>
      </w:pPr>
      <w:r>
        <w:rPr>
          <w:rFonts w:eastAsia="Calibri" w:cs="Times New Roman" w:ascii="Times New Roman" w:hAnsi="Times New Roman"/>
          <w:b w:val="false"/>
          <w:spacing w:val="-2"/>
          <w:sz w:val="32"/>
          <w:szCs w:val="32"/>
          <w:lang w:val="it-IT"/>
        </w:rPr>
      </w:r>
    </w:p>
    <w:p>
      <w:pPr>
        <w:pStyle w:val="Titolo31"/>
        <w:keepNext w:val="true"/>
        <w:keepLines/>
        <w:shd w:val="clear" w:color="auto" w:fill="auto"/>
        <w:spacing w:lineRule="exact" w:line="250"/>
        <w:rPr>
          <w:sz w:val="24"/>
          <w:szCs w:val="24"/>
        </w:rPr>
      </w:pPr>
      <w:r>
        <w:rPr>
          <w:rFonts w:cs="Times New Roman" w:ascii="Times New Roman" w:hAnsi="Times New Roman"/>
          <w:bCs w:val="false"/>
          <w:i/>
          <w:iCs/>
          <w:smallCaps/>
          <w:color w:val="000000"/>
          <w:sz w:val="24"/>
          <w:szCs w:val="24"/>
          <w:lang w:val="it-IT"/>
        </w:rPr>
        <w:t>Settore Autonomo Polizia Municipale</w:t>
      </w:r>
    </w:p>
    <w:p>
      <w:pPr>
        <w:pStyle w:val="BodyText"/>
        <w:spacing w:before="318" w:after="0"/>
        <w:ind w:left="0"/>
        <w:rPr>
          <w:i/>
          <w:i/>
        </w:rPr>
      </w:pPr>
      <w:r>
        <w:rPr>
          <w:i/>
        </w:rPr>
      </w:r>
    </w:p>
    <w:p>
      <w:pPr>
        <w:pStyle w:val="BodyText"/>
        <w:spacing w:before="318" w:after="0"/>
        <w:ind w:left="0"/>
        <w:rPr>
          <w:i/>
          <w:i/>
        </w:rPr>
      </w:pPr>
      <w:r>
        <w:rPr>
          <w:i/>
        </w:rPr>
      </w:r>
    </w:p>
    <w:p>
      <w:pPr>
        <w:pStyle w:val="BodyText"/>
        <w:tabs>
          <w:tab w:val="clear" w:pos="720"/>
          <w:tab w:val="left" w:pos="1636" w:leader="none"/>
        </w:tabs>
        <w:spacing w:lineRule="auto" w:line="276"/>
        <w:ind w:hanging="1523" w:left="1637" w:right="89"/>
        <w:jc w:val="both"/>
        <w:rPr>
          <w:rFonts w:ascii="Times New Roman" w:hAnsi="Times New Roman" w:cs="Times New Roman"/>
          <w:b/>
          <w:caps/>
          <w:color w:val="19191A"/>
        </w:rPr>
      </w:pPr>
      <w:r>
        <w:rPr>
          <w:rFonts w:cs="Times New Roman" w:ascii="Times New Roman" w:hAnsi="Times New Roman"/>
          <w:b/>
          <w:spacing w:val="-2"/>
        </w:rPr>
        <w:t>OGGETTO:</w:t>
      </w:r>
      <w:r>
        <w:rPr>
          <w:rFonts w:cs="Times New Roman" w:ascii="Times New Roman" w:hAnsi="Times New Roman"/>
          <w:b/>
        </w:rPr>
        <w:tab/>
      </w:r>
      <w:r>
        <w:rPr>
          <w:rFonts w:cs="Times New Roman" w:ascii="Times New Roman" w:hAnsi="Times New Roman"/>
          <w:b/>
          <w:caps/>
          <w:color w:val="19191A"/>
        </w:rPr>
        <w:t>AVVISO PER IL CONFERIMENTO DELL’INCARICO DI ELEVATA QUALIFICAZIONE PER L’unità organizzativa “MOBILITà E LOGISTICA” DEL SETTORE AUTONOMO POLIZIA MUNICIPALE (APPROVATO CON D.D. N. 3129/2025).</w:t>
      </w:r>
    </w:p>
    <w:p>
      <w:pPr>
        <w:pStyle w:val="BodyText"/>
        <w:tabs>
          <w:tab w:val="clear" w:pos="720"/>
          <w:tab w:val="left" w:pos="1636" w:leader="none"/>
        </w:tabs>
        <w:spacing w:lineRule="auto" w:line="276"/>
        <w:ind w:hanging="1523" w:left="1637" w:right="89"/>
        <w:jc w:val="both"/>
        <w:rPr/>
      </w:pPr>
      <w:r>
        <w:rPr/>
      </w:r>
    </w:p>
    <w:p>
      <w:pPr>
        <w:pStyle w:val="Titolo11"/>
        <w:ind w:left="7"/>
        <w:jc w:val="center"/>
        <w:rPr>
          <w:rFonts w:ascii="Times New Roman" w:hAnsi="Times New Roman" w:cs="Times New Roman"/>
          <w:sz w:val="24"/>
          <w:szCs w:val="24"/>
        </w:rPr>
      </w:pPr>
      <w:r>
        <w:rPr>
          <w:rFonts w:cs="Times New Roman" w:ascii="Times New Roman" w:hAnsi="Times New Roman"/>
          <w:sz w:val="24"/>
          <w:szCs w:val="24"/>
        </w:rPr>
      </w:r>
    </w:p>
    <w:p>
      <w:pPr>
        <w:pStyle w:val="Titolo11"/>
        <w:ind w:left="7"/>
        <w:jc w:val="center"/>
        <w:rPr>
          <w:rFonts w:ascii="Times New Roman" w:hAnsi="Times New Roman" w:cs="Times New Roman"/>
          <w:spacing w:val="-2"/>
          <w:sz w:val="24"/>
          <w:szCs w:val="24"/>
        </w:rPr>
      </w:pPr>
      <w:r>
        <w:rPr>
          <w:rFonts w:cs="Times New Roman" w:ascii="Times New Roman" w:hAnsi="Times New Roman"/>
          <w:sz w:val="24"/>
          <w:szCs w:val="24"/>
        </w:rPr>
        <w:t xml:space="preserve">IL </w:t>
      </w:r>
      <w:r>
        <w:rPr>
          <w:rFonts w:cs="Times New Roman" w:ascii="Times New Roman" w:hAnsi="Times New Roman"/>
          <w:spacing w:val="-2"/>
          <w:sz w:val="24"/>
          <w:szCs w:val="24"/>
        </w:rPr>
        <w:t>DIRIGENTE</w:t>
      </w:r>
    </w:p>
    <w:p>
      <w:pPr>
        <w:pStyle w:val="Titolo11"/>
        <w:ind w:left="7"/>
        <w:jc w:val="center"/>
        <w:rPr>
          <w:rFonts w:ascii="Times New Roman" w:hAnsi="Times New Roman" w:cs="Times New Roman"/>
        </w:rPr>
      </w:pPr>
      <w:r>
        <w:rPr>
          <w:rFonts w:cs="Times New Roman" w:ascii="Times New Roman" w:hAnsi="Times New Roman"/>
        </w:rPr>
      </w:r>
    </w:p>
    <w:p>
      <w:pPr>
        <w:pStyle w:val="BodyText"/>
        <w:spacing w:lineRule="auto" w:line="276" w:before="240" w:after="0"/>
        <w:ind w:left="114" w:right="103"/>
        <w:jc w:val="both"/>
        <w:rPr>
          <w:rFonts w:ascii="Times New Roman" w:hAnsi="Times New Roman" w:cs="Times New Roman"/>
        </w:rPr>
      </w:pPr>
      <w:r>
        <w:rPr>
          <w:rFonts w:cs="Times New Roman" w:ascii="Times New Roman" w:hAnsi="Times New Roman"/>
          <w:b/>
        </w:rPr>
        <w:t xml:space="preserve">VISTI </w:t>
      </w:r>
      <w:r>
        <w:rPr>
          <w:rFonts w:cs="Times New Roman" w:ascii="Times New Roman" w:hAnsi="Times New Roman"/>
        </w:rPr>
        <w:t>gli articoli 16, 17, 18, 19, 20 e 21 del CCNL relativo al personale del Comparto Funzioni Locali triennio 2019 – 2021, sottoscritto il 16 novembre 2022 recante “Disciplina degli incarichi di Elevata Qualificazione”;</w:t>
      </w:r>
    </w:p>
    <w:p>
      <w:pPr>
        <w:pStyle w:val="BodyText"/>
        <w:spacing w:lineRule="auto" w:line="276" w:before="240" w:after="0"/>
        <w:ind w:left="114" w:right="104"/>
        <w:jc w:val="both"/>
        <w:rPr>
          <w:rFonts w:ascii="Times New Roman" w:hAnsi="Times New Roman" w:cs="Times New Roman"/>
        </w:rPr>
      </w:pPr>
      <w:r>
        <w:rPr>
          <w:rFonts w:cs="Times New Roman" w:ascii="Times New Roman" w:hAnsi="Times New Roman"/>
          <w:b/>
        </w:rPr>
        <w:t xml:space="preserve">VISTO </w:t>
      </w:r>
      <w:r>
        <w:rPr>
          <w:rFonts w:cs="Times New Roman" w:ascii="Times New Roman" w:hAnsi="Times New Roman"/>
        </w:rPr>
        <w:t>l’art. 22 del vigente Regolamento sull’Ordinamento degli Uffici e dei Servizi, approvato con deliberazione di G.C. n. 804/2015 e ss.mm.ii.;</w:t>
      </w:r>
    </w:p>
    <w:p>
      <w:pPr>
        <w:pStyle w:val="BodyText"/>
        <w:spacing w:before="240" w:after="0"/>
        <w:ind w:left="114" w:right="104"/>
        <w:jc w:val="both"/>
        <w:rPr>
          <w:rFonts w:ascii="Times New Roman" w:hAnsi="Times New Roman" w:cs="Times New Roman"/>
        </w:rPr>
      </w:pPr>
      <w:r>
        <w:rPr>
          <w:rFonts w:cs="Times New Roman" w:ascii="Times New Roman" w:hAnsi="Times New Roman"/>
          <w:b/>
        </w:rPr>
        <w:t xml:space="preserve">VISTA </w:t>
      </w:r>
      <w:r>
        <w:rPr>
          <w:rFonts w:cs="Times New Roman" w:ascii="Times New Roman" w:hAnsi="Times New Roman"/>
        </w:rPr>
        <w:t>la delibera G.C. n. 43 del 08/03/2024 con la quale è stato approvato il nuovo regolamento sul sistema di individuazione, pesatura e graduazione delle posizioni di elevata qualificazione (E.Q.), alla luce del CCNL del 16/11/2022;</w:t>
      </w:r>
    </w:p>
    <w:p>
      <w:pPr>
        <w:pStyle w:val="BodyText"/>
        <w:spacing w:before="240" w:after="0"/>
        <w:ind w:left="114" w:right="103"/>
        <w:jc w:val="both"/>
        <w:rPr>
          <w:rFonts w:ascii="Times New Roman" w:hAnsi="Times New Roman" w:cs="Times New Roman"/>
        </w:rPr>
      </w:pPr>
      <w:r>
        <w:rPr>
          <w:rFonts w:cs="Times New Roman" w:ascii="Times New Roman" w:hAnsi="Times New Roman"/>
          <w:b/>
        </w:rPr>
        <w:t xml:space="preserve">VISTA </w:t>
      </w:r>
      <w:r>
        <w:rPr>
          <w:rFonts w:cs="Times New Roman" w:ascii="Times New Roman" w:hAnsi="Times New Roman"/>
        </w:rPr>
        <w:t>la successiva delibera di G.C. n. 44 del 08/03/2024, con la quale venivano individuate n. 27 posizioni di elevata qualificazione, suddivise tra i diversi settori dirigenziali;</w:t>
      </w:r>
    </w:p>
    <w:p>
      <w:pPr>
        <w:pStyle w:val="BodyText"/>
        <w:spacing w:before="240" w:after="0"/>
        <w:ind w:left="114" w:right="105"/>
        <w:jc w:val="both"/>
        <w:rPr>
          <w:rFonts w:ascii="Times New Roman" w:hAnsi="Times New Roman" w:cs="Times New Roman"/>
        </w:rPr>
      </w:pPr>
      <w:r>
        <w:rPr>
          <w:rFonts w:cs="Times New Roman" w:ascii="Times New Roman" w:hAnsi="Times New Roman"/>
          <w:b/>
        </w:rPr>
        <w:t xml:space="preserve">VISTA </w:t>
      </w:r>
      <w:r>
        <w:rPr>
          <w:rFonts w:cs="Times New Roman" w:ascii="Times New Roman" w:hAnsi="Times New Roman"/>
        </w:rPr>
        <w:t>la delibera G.C. 152 del 26/06/2024, con la quale sono state approvate le pesature e graduazioni delle posizioni di elevata qualificazione (E.Q.);</w:t>
      </w:r>
    </w:p>
    <w:p>
      <w:pPr>
        <w:pStyle w:val="BodyText"/>
        <w:spacing w:before="240" w:after="0"/>
        <w:ind w:left="114" w:right="106"/>
        <w:jc w:val="both"/>
        <w:rPr>
          <w:rFonts w:ascii="Times New Roman" w:hAnsi="Times New Roman" w:cs="Times New Roman"/>
        </w:rPr>
      </w:pPr>
      <w:r>
        <w:rPr>
          <w:rFonts w:cs="Times New Roman" w:ascii="Times New Roman" w:hAnsi="Times New Roman"/>
          <w:b/>
        </w:rPr>
        <w:t xml:space="preserve">VISTA </w:t>
      </w:r>
      <w:r>
        <w:rPr>
          <w:rFonts w:cs="Times New Roman" w:ascii="Times New Roman" w:hAnsi="Times New Roman"/>
        </w:rPr>
        <w:t xml:space="preserve">la Determinazione Dirigenziale n. 1431 del 04/07/2024, con la quale sono state definite le indennità di posizione, che nel caso della EQ </w:t>
      </w:r>
      <w:r>
        <w:rPr>
          <w:rFonts w:cs="Times New Roman" w:ascii="Times New Roman" w:hAnsi="Times New Roman"/>
          <w:b/>
        </w:rPr>
        <w:t>“Mobilità e logistica” è pari ad € 14.839,00 annui lordi</w:t>
      </w:r>
      <w:r>
        <w:rPr>
          <w:rFonts w:cs="Times New Roman" w:ascii="Times New Roman" w:hAnsi="Times New Roman"/>
        </w:rPr>
        <w:t>;</w:t>
      </w:r>
    </w:p>
    <w:p>
      <w:pPr>
        <w:pStyle w:val="BodyText"/>
        <w:spacing w:before="240" w:after="0"/>
        <w:ind w:left="114" w:right="106"/>
        <w:jc w:val="both"/>
        <w:rPr>
          <w:rFonts w:ascii="Times New Roman" w:hAnsi="Times New Roman" w:cs="Times New Roman"/>
        </w:rPr>
      </w:pPr>
      <w:r>
        <w:rPr>
          <w:rFonts w:cs="Times New Roman" w:ascii="Times New Roman" w:hAnsi="Times New Roman"/>
          <w:b/>
        </w:rPr>
        <w:t xml:space="preserve">VISTA </w:t>
      </w:r>
      <w:r>
        <w:rPr>
          <w:rFonts w:cs="Times New Roman" w:ascii="Times New Roman" w:hAnsi="Times New Roman"/>
        </w:rPr>
        <w:t>la Determinazione Dirigenziale n. 1247 del 07/05/2025, con la quale è stato costituito il fondo risorse decentrate per l’anno 2025;</w:t>
      </w:r>
    </w:p>
    <w:p>
      <w:pPr>
        <w:pStyle w:val="Titolo11"/>
        <w:spacing w:before="39" w:after="0"/>
        <w:ind w:left="7"/>
        <w:jc w:val="center"/>
        <w:rPr>
          <w:rFonts w:ascii="Times New Roman" w:hAnsi="Times New Roman" w:cs="Times New Roman"/>
          <w:spacing w:val="-2"/>
        </w:rPr>
      </w:pPr>
      <w:r>
        <w:rPr>
          <w:rFonts w:cs="Times New Roman" w:ascii="Times New Roman" w:hAnsi="Times New Roman"/>
          <w:spacing w:val="-2"/>
        </w:rPr>
      </w:r>
    </w:p>
    <w:p>
      <w:pPr>
        <w:pStyle w:val="Titolo11"/>
        <w:spacing w:before="39" w:after="0"/>
        <w:ind w:left="7"/>
        <w:jc w:val="center"/>
        <w:rPr>
          <w:rFonts w:ascii="Times New Roman" w:hAnsi="Times New Roman" w:cs="Times New Roman"/>
        </w:rPr>
      </w:pPr>
      <w:r>
        <w:rPr>
          <w:rFonts w:cs="Times New Roman" w:ascii="Times New Roman" w:hAnsi="Times New Roman"/>
          <w:spacing w:val="-2"/>
        </w:rPr>
        <w:t xml:space="preserve">RENDE </w:t>
      </w:r>
      <w:r>
        <w:rPr>
          <w:rFonts w:cs="Times New Roman" w:ascii="Times New Roman" w:hAnsi="Times New Roman"/>
          <w:spacing w:val="-4"/>
        </w:rPr>
        <w:t>NOTO</w:t>
      </w:r>
    </w:p>
    <w:p>
      <w:pPr>
        <w:pStyle w:val="BodyText"/>
        <w:spacing w:lineRule="auto" w:line="276" w:before="120" w:after="0"/>
        <w:ind w:left="114" w:right="103"/>
        <w:jc w:val="both"/>
        <w:rPr>
          <w:rFonts w:ascii="Times New Roman" w:hAnsi="Times New Roman" w:cs="Times New Roman"/>
        </w:rPr>
      </w:pPr>
      <w:r>
        <w:rPr>
          <w:rFonts w:cs="Times New Roman" w:ascii="Times New Roman" w:hAnsi="Times New Roman"/>
        </w:rPr>
        <w:t>Che è indetta ai sensi dell’art. 3 del Regolamento sul sistema di individuazione, pesatura e graduazione delle posizioni di elevata qualificazione (E.Q.), la procedura per il conferimento del seguente incarico di E.Q. con la relativa indennità di posizione:</w:t>
      </w:r>
    </w:p>
    <w:p>
      <w:pPr>
        <w:pStyle w:val="BodyText"/>
        <w:spacing w:lineRule="auto" w:line="276"/>
        <w:ind w:left="114" w:right="103"/>
        <w:jc w:val="both"/>
        <w:rPr>
          <w:rFonts w:ascii="Times New Roman" w:hAnsi="Times New Roman" w:cs="Times New Roman"/>
        </w:rPr>
      </w:pPr>
      <w:r>
        <w:rPr>
          <w:rFonts w:cs="Times New Roman" w:ascii="Times New Roman" w:hAnsi="Times New Roman"/>
        </w:rPr>
      </w:r>
    </w:p>
    <w:p>
      <w:pPr>
        <w:pStyle w:val="Corpodeltesto81"/>
        <w:numPr>
          <w:ilvl w:val="0"/>
          <w:numId w:val="3"/>
        </w:numPr>
        <w:shd w:val="clear" w:color="auto" w:fill="auto"/>
        <w:tabs>
          <w:tab w:val="clear" w:pos="720"/>
          <w:tab w:val="left" w:pos="1047" w:leader="none"/>
        </w:tabs>
        <w:spacing w:lineRule="exact" w:line="220"/>
        <w:rPr>
          <w:rFonts w:ascii="Times New Roman" w:hAnsi="Times New Roman" w:eastAsia="Calibri Light" w:cs="Times New Roman"/>
          <w:lang w:val="it-IT"/>
        </w:rPr>
      </w:pPr>
      <w:r>
        <w:rPr>
          <w:rFonts w:eastAsia="Calibri Light" w:cs="Times New Roman" w:ascii="Times New Roman" w:hAnsi="Times New Roman"/>
          <w:b/>
          <w:lang w:val="it-IT"/>
        </w:rPr>
        <w:t>EQ “Mobilità e logistica” € 14.839,00 annui lordi</w:t>
      </w:r>
      <w:r>
        <w:rPr>
          <w:rFonts w:eastAsia="Calibri Light" w:cs="Times New Roman" w:ascii="Times New Roman" w:hAnsi="Times New Roman"/>
          <w:lang w:val="it-IT"/>
        </w:rPr>
        <w:t>.</w:t>
      </w:r>
    </w:p>
    <w:p>
      <w:pPr>
        <w:pStyle w:val="Corpodeltesto81"/>
        <w:shd w:val="clear" w:color="auto" w:fill="auto"/>
        <w:tabs>
          <w:tab w:val="clear" w:pos="720"/>
          <w:tab w:val="left" w:pos="1047" w:leader="none"/>
        </w:tabs>
        <w:spacing w:lineRule="exact" w:line="220"/>
        <w:ind w:hanging="0" w:left="502"/>
        <w:rPr>
          <w:rFonts w:ascii="Times New Roman" w:hAnsi="Times New Roman" w:eastAsia="Calibri Light" w:cs="Times New Roman"/>
          <w:lang w:val="it-IT"/>
        </w:rPr>
      </w:pPr>
      <w:r>
        <w:rPr>
          <w:rFonts w:eastAsia="Calibri Light" w:cs="Times New Roman" w:ascii="Times New Roman" w:hAnsi="Times New Roman"/>
          <w:lang w:val="it-IT"/>
        </w:rPr>
      </w:r>
    </w:p>
    <w:p>
      <w:pPr>
        <w:pStyle w:val="Titolo11"/>
        <w:spacing w:before="200" w:after="0"/>
        <w:jc w:val="center"/>
        <w:rPr>
          <w:rFonts w:ascii="Times New Roman" w:hAnsi="Times New Roman" w:cs="Times New Roman"/>
          <w:spacing w:val="-2"/>
        </w:rPr>
      </w:pPr>
      <w:r>
        <w:rPr>
          <w:rFonts w:cs="Times New Roman" w:ascii="Times New Roman" w:hAnsi="Times New Roman"/>
          <w:spacing w:val="-2"/>
        </w:rPr>
      </w:r>
    </w:p>
    <w:p>
      <w:pPr>
        <w:pStyle w:val="Titolo11"/>
        <w:spacing w:before="200" w:after="0"/>
        <w:jc w:val="center"/>
        <w:rPr>
          <w:rFonts w:ascii="Times New Roman" w:hAnsi="Times New Roman" w:cs="Times New Roman"/>
        </w:rPr>
      </w:pPr>
      <w:r>
        <w:rPr>
          <w:rFonts w:cs="Times New Roman" w:ascii="Times New Roman" w:hAnsi="Times New Roman"/>
          <w:spacing w:val="-2"/>
        </w:rPr>
        <w:t>ART. 1 - REQUISITI</w:t>
      </w:r>
    </w:p>
    <w:p>
      <w:pPr>
        <w:pStyle w:val="BodyText"/>
        <w:spacing w:lineRule="auto" w:line="276" w:before="240" w:after="0"/>
        <w:ind w:left="114" w:right="103"/>
        <w:jc w:val="both"/>
        <w:rPr>
          <w:rFonts w:ascii="Times New Roman" w:hAnsi="Times New Roman" w:cs="Times New Roman"/>
        </w:rPr>
      </w:pPr>
      <w:r>
        <w:rPr>
          <w:rFonts w:cs="Times New Roman" w:ascii="Times New Roman" w:hAnsi="Times New Roman"/>
        </w:rPr>
        <w:t xml:space="preserve">Possono presentare domanda di partecipazione per ricoprire l’incarico di Elevata Qualificazione </w:t>
      </w:r>
      <w:r>
        <w:rPr>
          <w:rFonts w:cs="Times New Roman" w:ascii="Times New Roman" w:hAnsi="Times New Roman"/>
          <w:b/>
        </w:rPr>
        <w:t>“Mobilità e logistica”</w:t>
      </w:r>
      <w:r>
        <w:rPr>
          <w:rFonts w:cs="Times New Roman" w:ascii="Times New Roman" w:hAnsi="Times New Roman"/>
        </w:rPr>
        <w:t xml:space="preserve">, i dipendenti dell’Area dei Funzionari e delle Elevate Qualificazioni con rapporto di lavoro a tempo pieno e indeterminato, in possesso dei requisiti così come prescritti dal vigente Regolamento, in </w:t>
      </w:r>
      <w:r>
        <w:rPr>
          <w:rFonts w:cs="Times New Roman" w:ascii="Times New Roman" w:hAnsi="Times New Roman"/>
          <w:spacing w:val="-2"/>
        </w:rPr>
        <w:t>particolare:</w:t>
      </w:r>
    </w:p>
    <w:p>
      <w:pPr>
        <w:pStyle w:val="ListParagraph"/>
        <w:numPr>
          <w:ilvl w:val="0"/>
          <w:numId w:val="2"/>
        </w:numPr>
        <w:tabs>
          <w:tab w:val="clear" w:pos="720"/>
          <w:tab w:val="left" w:pos="333" w:leader="none"/>
        </w:tabs>
        <w:spacing w:before="120" w:after="0"/>
        <w:ind w:hanging="360" w:left="693" w:right="103"/>
        <w:rPr>
          <w:rFonts w:ascii="Times New Roman" w:hAnsi="Times New Roman" w:cs="Times New Roman"/>
        </w:rPr>
      </w:pPr>
      <w:r>
        <w:rPr>
          <w:rFonts w:cs="Times New Roman" w:ascii="Times New Roman" w:hAnsi="Times New Roman"/>
        </w:rPr>
        <w:t>aver ottenuto, negli ultimi 3 anni, valutazioni delle prestazioni positive, intendendo per tali quelle superiori al 70% sulla base del sistema di misurazione e valutazione delle performance organizzative e individuali;</w:t>
      </w:r>
    </w:p>
    <w:p>
      <w:pPr>
        <w:pStyle w:val="ListParagraph"/>
        <w:numPr>
          <w:ilvl w:val="0"/>
          <w:numId w:val="2"/>
        </w:numPr>
        <w:tabs>
          <w:tab w:val="clear" w:pos="720"/>
          <w:tab w:val="left" w:pos="363" w:leader="none"/>
        </w:tabs>
        <w:ind w:hanging="360" w:left="693" w:right="103"/>
        <w:rPr>
          <w:rFonts w:ascii="Times New Roman" w:hAnsi="Times New Roman" w:cs="Times New Roman"/>
        </w:rPr>
      </w:pPr>
      <w:r>
        <w:rPr>
          <w:rFonts w:cs="Times New Roman" w:ascii="Times New Roman" w:hAnsi="Times New Roman"/>
        </w:rPr>
        <w:t>insussistenza di condizioni ostative, previste dal "Piano triennale di prevenzione della corruzione" per le aree e i procedimenti ad elevato rischio, salvo eventuali deroghe che dovranno essere motivate per iscritto;</w:t>
      </w:r>
    </w:p>
    <w:p>
      <w:pPr>
        <w:pStyle w:val="ListParagraph"/>
        <w:numPr>
          <w:ilvl w:val="0"/>
          <w:numId w:val="2"/>
        </w:numPr>
        <w:tabs>
          <w:tab w:val="clear" w:pos="720"/>
          <w:tab w:val="left" w:pos="363" w:leader="none"/>
        </w:tabs>
        <w:ind w:hanging="360" w:left="693" w:right="103"/>
        <w:rPr>
          <w:rFonts w:ascii="Times New Roman" w:hAnsi="Times New Roman" w:cs="Times New Roman"/>
          <w:spacing w:val="-2"/>
        </w:rPr>
      </w:pPr>
      <w:r>
        <w:rPr>
          <w:rFonts w:cs="Times New Roman" w:ascii="Times New Roman" w:hAnsi="Times New Roman"/>
        </w:rPr>
        <w:t xml:space="preserve">non aver subito sanzioni disciplinari superiori alla multa negli ultimi 3 </w:t>
      </w:r>
      <w:r>
        <w:rPr>
          <w:rFonts w:cs="Times New Roman" w:ascii="Times New Roman" w:hAnsi="Times New Roman"/>
          <w:spacing w:val="-2"/>
        </w:rPr>
        <w:t>anni;</w:t>
      </w:r>
    </w:p>
    <w:p>
      <w:pPr>
        <w:pStyle w:val="ListParagraph"/>
        <w:numPr>
          <w:ilvl w:val="0"/>
          <w:numId w:val="2"/>
        </w:numPr>
        <w:tabs>
          <w:tab w:val="clear" w:pos="720"/>
          <w:tab w:val="left" w:pos="363" w:leader="none"/>
        </w:tabs>
        <w:ind w:hanging="360" w:left="693" w:right="103"/>
        <w:rPr>
          <w:rFonts w:ascii="Times New Roman" w:hAnsi="Times New Roman" w:cs="Times New Roman"/>
        </w:rPr>
      </w:pPr>
      <w:r>
        <w:rPr>
          <w:rFonts w:cs="Times New Roman" w:ascii="Times New Roman" w:hAnsi="Times New Roman"/>
        </w:rPr>
        <w:t>insussistenza di casi di inconferibilità di incarichi ai sensi del D.Lgs. n.39/2016 e D.P.R.62/2013 e s</w:t>
      </w:r>
      <w:r>
        <w:rPr>
          <w:rFonts w:cs="Times New Roman" w:ascii="Times New Roman" w:hAnsi="Times New Roman"/>
          <w:spacing w:val="-2"/>
        </w:rPr>
        <w:t>s.mm.ii.;</w:t>
      </w:r>
    </w:p>
    <w:p>
      <w:pPr>
        <w:pStyle w:val="BodyText"/>
        <w:spacing w:lineRule="auto" w:line="276" w:before="1" w:after="0"/>
        <w:ind w:left="114" w:right="103"/>
        <w:jc w:val="both"/>
        <w:rPr>
          <w:rFonts w:ascii="Times New Roman" w:hAnsi="Times New Roman" w:cs="Times New Roman"/>
        </w:rPr>
      </w:pPr>
      <w:r>
        <w:rPr>
          <w:rFonts w:cs="Times New Roman" w:ascii="Times New Roman" w:hAnsi="Times New Roman"/>
        </w:rPr>
      </w:r>
    </w:p>
    <w:p>
      <w:pPr>
        <w:pStyle w:val="BodyText"/>
        <w:spacing w:lineRule="auto" w:line="276" w:before="1" w:after="0"/>
        <w:ind w:left="114" w:right="103"/>
        <w:jc w:val="both"/>
        <w:rPr>
          <w:rFonts w:ascii="Times New Roman" w:hAnsi="Times New Roman" w:cs="Times New Roman"/>
        </w:rPr>
      </w:pPr>
      <w:r>
        <w:rPr>
          <w:rFonts w:cs="Times New Roman" w:ascii="Times New Roman" w:hAnsi="Times New Roman"/>
        </w:rPr>
        <w:t xml:space="preserve">A pena di esclusione dalla presente procedura, nella domanda di partecipazione i candidati devono dichiarare sotto la propria responsabilità di essere in possesso dei requisiti previsti per ricoprire l’incarico. Alla domanda dovrà essere allegato il curriculum </w:t>
      </w:r>
      <w:r>
        <w:rPr>
          <w:rFonts w:cs="Times New Roman" w:ascii="Times New Roman" w:hAnsi="Times New Roman"/>
          <w:spacing w:val="-2"/>
        </w:rPr>
        <w:t>formativo-professionale.</w:t>
      </w:r>
    </w:p>
    <w:p>
      <w:pPr>
        <w:pStyle w:val="Titolo11"/>
        <w:spacing w:before="200" w:after="0"/>
        <w:jc w:val="center"/>
        <w:rPr>
          <w:rFonts w:ascii="Times New Roman" w:hAnsi="Times New Roman" w:cs="Times New Roman"/>
        </w:rPr>
      </w:pPr>
      <w:r>
        <w:rPr>
          <w:rFonts w:cs="Times New Roman" w:ascii="Times New Roman" w:hAnsi="Times New Roman"/>
          <w:spacing w:val="-4"/>
        </w:rPr>
        <w:t>ART. 2 - MODALITA’ E TERMINI DI PRESENTAZIONE DELLE CANDIDATURE</w:t>
      </w:r>
    </w:p>
    <w:p>
      <w:pPr>
        <w:pStyle w:val="BodyText"/>
        <w:spacing w:before="120" w:after="0"/>
        <w:ind w:left="114" w:right="103"/>
        <w:jc w:val="both"/>
        <w:rPr>
          <w:rFonts w:ascii="Times New Roman" w:hAnsi="Times New Roman" w:cs="Times New Roman"/>
        </w:rPr>
      </w:pPr>
      <w:r>
        <w:rPr>
          <w:rFonts w:cs="Times New Roman" w:ascii="Times New Roman" w:hAnsi="Times New Roman"/>
        </w:rPr>
        <w:t>I dipendenti in possesso dei requisiti possono presentare la domanda di candidatura all’incarico e la documentazione richiesta indirizzandola al Dirigente del Settore Autonomo di Polizia Municipale, Dott. Gennaro Russo, al seguente indirizzo di posta elettronica certificata</w:t>
      </w:r>
      <w:r>
        <w:rPr>
          <w:rFonts w:cs="Times New Roman" w:ascii="Times New Roman" w:hAnsi="Times New Roman"/>
          <w:color w:themeColor="text1" w:val="000000"/>
        </w:rPr>
        <w:t>: protocollo.</w:t>
      </w:r>
      <w:hyperlink r:id="rId3">
        <w:r>
          <w:rPr>
            <w:rStyle w:val="Hyperlink"/>
            <w:rFonts w:cs="Times New Roman" w:ascii="Times New Roman" w:hAnsi="Times New Roman"/>
            <w:color w:themeColor="text1" w:val="000000"/>
            <w:u w:val="none"/>
          </w:rPr>
          <w:t>torredelgreco@asmepec.it</w:t>
        </w:r>
      </w:hyperlink>
      <w:r>
        <w:rPr>
          <w:rFonts w:cs="Times New Roman" w:ascii="Times New Roman" w:hAnsi="Times New Roman"/>
        </w:rPr>
        <w:t xml:space="preserve"> - entro e non oltre le ore 23:59 del giorno 07.11.2025.</w:t>
      </w:r>
    </w:p>
    <w:p>
      <w:pPr>
        <w:pStyle w:val="BodyText"/>
        <w:spacing w:before="120" w:after="120"/>
        <w:ind w:left="114" w:right="104"/>
        <w:jc w:val="both"/>
        <w:rPr>
          <w:rFonts w:ascii="Times New Roman" w:hAnsi="Times New Roman" w:cs="Times New Roman"/>
        </w:rPr>
      </w:pPr>
      <w:r>
        <w:rPr>
          <w:rFonts w:cs="Times New Roman" w:ascii="Times New Roman" w:hAnsi="Times New Roman"/>
        </w:rPr>
        <w:t xml:space="preserve">I candidati che non dispongono di posta elettronica certificata possono presentare la domanda e l’acclusa documentazione direttamente all’Ufficio protocollo dell’Ente entro il termine perentorio di cui al precedente </w:t>
      </w:r>
      <w:r>
        <w:rPr>
          <w:rFonts w:cs="Times New Roman" w:ascii="Times New Roman" w:hAnsi="Times New Roman"/>
          <w:spacing w:val="-2"/>
        </w:rPr>
        <w:t>comma.</w:t>
      </w:r>
    </w:p>
    <w:p>
      <w:pPr>
        <w:pStyle w:val="BodyText"/>
        <w:spacing w:lineRule="auto" w:line="276" w:before="120" w:after="0"/>
        <w:ind w:left="114" w:right="107"/>
        <w:jc w:val="both"/>
        <w:rPr>
          <w:rFonts w:ascii="Times New Roman" w:hAnsi="Times New Roman" w:cs="Times New Roman"/>
        </w:rPr>
      </w:pPr>
      <w:r>
        <w:rPr>
          <w:rFonts w:cs="Times New Roman" w:ascii="Times New Roman" w:hAnsi="Times New Roman"/>
        </w:rPr>
        <w:t>Il rispetto del termine di presentazione sarà comprovato dal protocollo apposto in sede di ricezione</w:t>
      </w:r>
      <w:r>
        <w:rPr>
          <w:rFonts w:cs="Times New Roman" w:ascii="Times New Roman" w:hAnsi="Times New Roman"/>
          <w:spacing w:val="-2"/>
        </w:rPr>
        <w:t>.</w:t>
      </w:r>
    </w:p>
    <w:p>
      <w:pPr>
        <w:pStyle w:val="BodyText"/>
        <w:spacing w:lineRule="auto" w:line="276" w:before="120" w:after="0"/>
        <w:ind w:left="114" w:right="104"/>
        <w:jc w:val="both"/>
        <w:rPr>
          <w:rFonts w:ascii="Times New Roman" w:hAnsi="Times New Roman" w:cs="Times New Roman"/>
        </w:rPr>
      </w:pPr>
      <w:r>
        <w:rPr>
          <w:rFonts w:cs="Times New Roman" w:ascii="Times New Roman" w:hAnsi="Times New Roman"/>
        </w:rPr>
        <w:t>Le domande non sottoscritte e quelle presentate dopo il termine perentorio di scadenza fissato non saranno prese in considerazione. Alle domande già presentate non sono ammesse integrazioni oltre il termine di scadenza fissato.</w:t>
      </w:r>
    </w:p>
    <w:p>
      <w:pPr>
        <w:pStyle w:val="BodyText"/>
        <w:spacing w:lineRule="auto" w:line="276" w:before="120" w:after="0"/>
        <w:ind w:left="114" w:right="104"/>
        <w:jc w:val="both"/>
        <w:rPr>
          <w:rFonts w:ascii="Times New Roman" w:hAnsi="Times New Roman" w:cs="Times New Roman"/>
        </w:rPr>
      </w:pPr>
      <w:r>
        <w:rPr>
          <w:rFonts w:cs="Times New Roman" w:ascii="Times New Roman" w:hAnsi="Times New Roman"/>
        </w:rPr>
        <w:t>La domanda di partecipazione e il curriculum possono essere sottoscritti con firma digitale ovvero con firma autografa sull’istanza prodotta avendo cura di allegare, a pena di esclusione, copia del documento di identità in corso di validità.</w:t>
      </w:r>
    </w:p>
    <w:p>
      <w:pPr>
        <w:pStyle w:val="Titolo11"/>
        <w:spacing w:before="200" w:after="0"/>
        <w:jc w:val="center"/>
        <w:rPr>
          <w:rFonts w:ascii="Times New Roman" w:hAnsi="Times New Roman" w:cs="Times New Roman"/>
        </w:rPr>
      </w:pPr>
      <w:r>
        <w:rPr>
          <w:rFonts w:cs="Times New Roman" w:ascii="Times New Roman" w:hAnsi="Times New Roman"/>
          <w:spacing w:val="-4"/>
        </w:rPr>
        <w:t>ART. 3 - MODALITA’ DI ASSEGNAZIONE DELL’INCARICO E OGGETTO DELL’INCARICO</w:t>
      </w:r>
    </w:p>
    <w:p>
      <w:pPr>
        <w:pStyle w:val="BodyText"/>
        <w:spacing w:before="120" w:after="0"/>
        <w:ind w:left="114" w:right="103"/>
        <w:jc w:val="both"/>
        <w:rPr>
          <w:rFonts w:ascii="Times New Roman" w:hAnsi="Times New Roman" w:cs="Times New Roman"/>
        </w:rPr>
      </w:pPr>
      <w:r>
        <w:rPr>
          <w:rFonts w:cs="Times New Roman" w:ascii="Times New Roman" w:hAnsi="Times New Roman"/>
        </w:rPr>
        <w:t>L’incarico della titolarità di Elevata Qualificazione sarà conferito con Determinazione del Dirigente del Settore Autonomo di P.M., a suo insindacabile giudizio, in considerazione della natura e delle caratteristiche dei programmi da realizzare, dei requisiti culturali posseduti, delle attitudini e delle capacità professionali, nonché delle esperienze acquisite.</w:t>
      </w:r>
    </w:p>
    <w:p>
      <w:pPr>
        <w:pStyle w:val="BodyText"/>
        <w:spacing w:before="120" w:after="0"/>
        <w:ind w:left="114" w:right="104"/>
        <w:jc w:val="both"/>
        <w:rPr>
          <w:rFonts w:ascii="Times New Roman" w:hAnsi="Times New Roman" w:cs="Times New Roman"/>
          <w:spacing w:val="-2"/>
        </w:rPr>
      </w:pPr>
      <w:r>
        <w:rPr>
          <w:rFonts w:cs="Times New Roman" w:ascii="Times New Roman" w:hAnsi="Times New Roman"/>
        </w:rPr>
        <w:t xml:space="preserve">Ai fini della valutazione si terrà conto della valutazione dei titoli e dell’attitudine a ricoprire l’incarico in </w:t>
      </w:r>
      <w:r>
        <w:rPr>
          <w:rFonts w:cs="Times New Roman" w:ascii="Times New Roman" w:hAnsi="Times New Roman"/>
          <w:spacing w:val="-2"/>
        </w:rPr>
        <w:t>questione.</w:t>
      </w:r>
    </w:p>
    <w:p>
      <w:pPr>
        <w:pStyle w:val="BodyText"/>
        <w:spacing w:before="120" w:after="0"/>
        <w:ind w:left="114" w:right="104"/>
        <w:jc w:val="both"/>
        <w:rPr>
          <w:rFonts w:ascii="Times New Roman" w:hAnsi="Times New Roman" w:cs="Times New Roman"/>
        </w:rPr>
      </w:pPr>
      <w:r>
        <w:rPr>
          <w:rFonts w:cs="Times New Roman" w:ascii="Times New Roman" w:hAnsi="Times New Roman"/>
          <w:spacing w:val="-2"/>
        </w:rPr>
        <w:t xml:space="preserve">Il </w:t>
      </w:r>
      <w:r>
        <w:rPr>
          <w:rFonts w:cs="Times New Roman" w:ascii="Times New Roman" w:hAnsi="Times New Roman"/>
        </w:rPr>
        <w:t>Dirigente del Settore Autonomo di P.M., con il supporto dell’Ufficio Risorse Umane limitatamente alla verifica dei requisiti di accesso e all’istruttoria tecnica, provvede all’attribuzione dei punteggi e alla valutazione dei curricula, nell’ambito delle proprie competenze e responsabilità.</w:t>
      </w:r>
    </w:p>
    <w:p>
      <w:pPr>
        <w:pStyle w:val="BodyText"/>
        <w:spacing w:before="120" w:after="0"/>
        <w:ind w:left="114" w:right="104"/>
        <w:jc w:val="both"/>
        <w:rPr>
          <w:rFonts w:ascii="Times New Roman" w:hAnsi="Times New Roman" w:cs="Times New Roman"/>
        </w:rPr>
      </w:pPr>
      <w:r>
        <w:rPr>
          <w:rFonts w:cs="Times New Roman" w:ascii="Times New Roman" w:hAnsi="Times New Roman"/>
        </w:rPr>
        <w:t>L’attribuzione dell’incarico avviene mediante procedura comparativa, in conformità alle previsioni regolamentari, come segue:</w:t>
      </w:r>
    </w:p>
    <w:p>
      <w:pPr>
        <w:pStyle w:val="BodyText"/>
        <w:numPr>
          <w:ilvl w:val="0"/>
          <w:numId w:val="4"/>
        </w:numPr>
        <w:jc w:val="both"/>
        <w:rPr>
          <w:rFonts w:ascii="Times New Roman" w:hAnsi="Times New Roman" w:cs="Times New Roman"/>
          <w:b/>
          <w:bCs/>
        </w:rPr>
      </w:pPr>
      <w:r>
        <w:rPr>
          <w:rFonts w:cs="Times New Roman" w:ascii="Times New Roman" w:hAnsi="Times New Roman"/>
          <w:b/>
          <w:bCs/>
        </w:rPr>
        <w:t>Valutazione dei titoli (max 10 punti)</w:t>
      </w:r>
    </w:p>
    <w:p>
      <w:pPr>
        <w:pStyle w:val="BodyText"/>
        <w:ind w:left="0"/>
        <w:rPr>
          <w:rFonts w:ascii="Times New Roman" w:hAnsi="Times New Roman" w:cs="Times New Roman"/>
        </w:rPr>
      </w:pPr>
      <w:r>
        <w:rPr>
          <w:rFonts w:cs="Times New Roman" w:ascii="Times New Roman" w:hAnsi="Times New Roman"/>
        </w:rPr>
      </w:r>
    </w:p>
    <w:p>
      <w:pPr>
        <w:pStyle w:val="BodyText"/>
        <w:numPr>
          <w:ilvl w:val="0"/>
          <w:numId w:val="5"/>
        </w:numPr>
        <w:ind w:hanging="360" w:left="834" w:right="89"/>
        <w:rPr>
          <w:rFonts w:ascii="Times New Roman" w:hAnsi="Times New Roman" w:cs="Times New Roman"/>
        </w:rPr>
      </w:pPr>
      <w:r>
        <w:rPr>
          <w:rFonts w:cs="Times New Roman" w:ascii="Times New Roman" w:hAnsi="Times New Roman"/>
        </w:rPr>
        <w:t>Titoli di studio: fino ad un massimo di 4 punti, attribuiti secondo il voto e il grado del titolo di laurea, come di seguito:</w:t>
      </w:r>
    </w:p>
    <w:p>
      <w:pPr>
        <w:pStyle w:val="BodyText"/>
        <w:spacing w:before="1" w:after="0"/>
        <w:ind w:left="114" w:right="1058"/>
        <w:jc w:val="both"/>
        <w:rPr>
          <w:rFonts w:ascii="Times New Roman" w:hAnsi="Times New Roman" w:cs="Times New Roman"/>
        </w:rPr>
      </w:pPr>
      <w:r>
        <w:rPr>
          <w:rFonts w:cs="Times New Roman" w:ascii="Times New Roman" w:hAnsi="Times New Roman"/>
        </w:rPr>
      </w:r>
    </w:p>
    <w:tbl>
      <w:tblPr>
        <w:tblStyle w:val="Grigliatabella"/>
        <w:tblW w:w="7766" w:type="dxa"/>
        <w:jc w:val="left"/>
        <w:tblInd w:w="562" w:type="dxa"/>
        <w:tblLayout w:type="fixed"/>
        <w:tblCellMar>
          <w:top w:w="0" w:type="dxa"/>
          <w:left w:w="108" w:type="dxa"/>
          <w:bottom w:w="0" w:type="dxa"/>
          <w:right w:w="108" w:type="dxa"/>
        </w:tblCellMar>
        <w:tblLook w:firstRow="1" w:noVBand="1" w:lastRow="0" w:firstColumn="1" w:lastColumn="0" w:noHBand="0" w:val="04a0"/>
      </w:tblPr>
      <w:tblGrid>
        <w:gridCol w:w="3685"/>
        <w:gridCol w:w="4080"/>
      </w:tblGrid>
      <w:tr>
        <w:trPr/>
        <w:tc>
          <w:tcPr>
            <w:tcW w:w="3685" w:type="dxa"/>
            <w:tcBorders/>
          </w:tcPr>
          <w:p>
            <w:pPr>
              <w:pStyle w:val="BodyText"/>
              <w:widowControl w:val="false"/>
              <w:suppressAutoHyphens w:val="true"/>
              <w:spacing w:before="1" w:after="0"/>
              <w:ind w:left="33" w:right="31"/>
              <w:jc w:val="both"/>
              <w:rPr>
                <w:rFonts w:ascii="Times New Roman" w:hAnsi="Times New Roman" w:cs="Times New Roman"/>
                <w:b/>
                <w:bCs/>
              </w:rPr>
            </w:pPr>
            <w:r>
              <w:rPr>
                <w:rFonts w:cs="Times New Roman" w:ascii="Times New Roman" w:hAnsi="Times New Roman"/>
                <w:b/>
                <w:bCs/>
              </w:rPr>
            </w:r>
          </w:p>
          <w:p>
            <w:pPr>
              <w:pStyle w:val="BodyText"/>
              <w:widowControl w:val="false"/>
              <w:suppressAutoHyphens w:val="true"/>
              <w:spacing w:before="1" w:after="0"/>
              <w:ind w:left="33" w:right="31"/>
              <w:jc w:val="both"/>
              <w:rPr>
                <w:rFonts w:ascii="Times New Roman" w:hAnsi="Times New Roman" w:cs="Times New Roman"/>
                <w:b/>
                <w:bCs/>
              </w:rPr>
            </w:pPr>
            <w:r>
              <w:rPr>
                <w:rFonts w:cs="Times New Roman" w:ascii="Times New Roman" w:hAnsi="Times New Roman"/>
                <w:b/>
                <w:bCs/>
              </w:rPr>
            </w:r>
          </w:p>
          <w:p>
            <w:pPr>
              <w:pStyle w:val="BodyText"/>
              <w:widowControl w:val="false"/>
              <w:suppressAutoHyphens w:val="true"/>
              <w:spacing w:before="1" w:after="0"/>
              <w:ind w:left="33" w:right="31"/>
              <w:jc w:val="both"/>
              <w:rPr>
                <w:rFonts w:ascii="Times New Roman" w:hAnsi="Times New Roman" w:cs="Times New Roman"/>
                <w:b/>
                <w:bCs/>
              </w:rPr>
            </w:pPr>
            <w:r>
              <w:rPr>
                <w:rFonts w:cs="Times New Roman" w:ascii="Times New Roman" w:hAnsi="Times New Roman"/>
                <w:b/>
                <w:bCs/>
              </w:rPr>
            </w:r>
          </w:p>
          <w:p>
            <w:pPr>
              <w:pStyle w:val="BodyText"/>
              <w:widowControl w:val="false"/>
              <w:suppressAutoHyphens w:val="true"/>
              <w:spacing w:before="1" w:after="0"/>
              <w:ind w:left="33" w:right="31"/>
              <w:jc w:val="left"/>
              <w:rPr>
                <w:rFonts w:ascii="Times New Roman" w:hAnsi="Times New Roman" w:cs="Times New Roman"/>
                <w:b/>
                <w:bCs/>
              </w:rPr>
            </w:pPr>
            <w:r>
              <w:rPr>
                <w:rFonts w:cs="Times New Roman" w:ascii="Times New Roman" w:hAnsi="Times New Roman"/>
                <w:b/>
                <w:bCs/>
                <w:kern w:val="0"/>
                <w:sz w:val="22"/>
                <w:szCs w:val="22"/>
                <w:lang w:eastAsia="en-US" w:bidi="ar-SA"/>
              </w:rPr>
              <w:t>DIPLOMA DI LAUREA VECCHIO ORDINAMENTO O MAGISTRALE</w:t>
            </w:r>
          </w:p>
        </w:tc>
        <w:tc>
          <w:tcPr>
            <w:tcW w:w="4080" w:type="dxa"/>
            <w:tcBorders/>
          </w:tcPr>
          <w:p>
            <w:pPr>
              <w:pStyle w:val="BodyText"/>
              <w:widowControl w:val="false"/>
              <w:suppressAutoHyphens w:val="true"/>
              <w:spacing w:before="1" w:after="0"/>
              <w:ind w:left="0" w:right="1058"/>
              <w:jc w:val="both"/>
              <w:rPr>
                <w:rFonts w:ascii="Times New Roman" w:hAnsi="Times New Roman" w:cs="Times New Roman"/>
                <w:u w:val="single"/>
              </w:rPr>
            </w:pPr>
            <w:r>
              <w:rPr>
                <w:rFonts w:cs="Times New Roman" w:ascii="Times New Roman" w:hAnsi="Times New Roman"/>
                <w:kern w:val="0"/>
                <w:sz w:val="22"/>
                <w:szCs w:val="22"/>
                <w:u w:val="single"/>
                <w:lang w:eastAsia="en-US" w:bidi="ar-SA"/>
              </w:rPr>
              <w:t>MAX PUNTI 4</w:t>
            </w:r>
          </w:p>
          <w:p>
            <w:pPr>
              <w:pStyle w:val="BodyText"/>
              <w:widowControl w:val="false"/>
              <w:suppressAutoHyphens w:val="true"/>
              <w:spacing w:before="1" w:after="0"/>
              <w:ind w:left="0" w:right="1058"/>
              <w:jc w:val="both"/>
              <w:rPr>
                <w:rFonts w:ascii="Times New Roman" w:hAnsi="Times New Roman" w:cs="Times New Roman"/>
                <w:sz w:val="14"/>
                <w:szCs w:val="14"/>
              </w:rPr>
            </w:pPr>
            <w:r>
              <w:rPr>
                <w:rFonts w:cs="Times New Roman" w:ascii="Times New Roman" w:hAnsi="Times New Roman"/>
                <w:sz w:val="14"/>
                <w:szCs w:val="14"/>
              </w:rPr>
            </w:r>
          </w:p>
          <w:p>
            <w:pPr>
              <w:pStyle w:val="BodyText"/>
              <w:widowControl w:val="false"/>
              <w:suppressAutoHyphens w:val="true"/>
              <w:spacing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Voto di laurea</w:t>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&lt; 100: Punti 0,00</w:t>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da 100 a 104: Punti 3,00</w:t>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da 105 a 108: Punti 3,50</w:t>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da 109 a 110 e lode: Punti 4,00</w:t>
            </w:r>
          </w:p>
        </w:tc>
      </w:tr>
      <w:tr>
        <w:trPr/>
        <w:tc>
          <w:tcPr>
            <w:tcW w:w="3685" w:type="dxa"/>
            <w:tcBorders/>
          </w:tcPr>
          <w:p>
            <w:pPr>
              <w:pStyle w:val="BodyText"/>
              <w:widowControl w:val="false"/>
              <w:suppressAutoHyphens w:val="true"/>
              <w:spacing w:before="1" w:after="0"/>
              <w:ind w:left="0" w:right="1058"/>
              <w:jc w:val="both"/>
              <w:rPr>
                <w:rFonts w:ascii="Times New Roman" w:hAnsi="Times New Roman" w:cs="Times New Roman"/>
                <w:b/>
                <w:bCs/>
              </w:rPr>
            </w:pPr>
            <w:r>
              <w:rPr>
                <w:rFonts w:cs="Times New Roman" w:ascii="Times New Roman" w:hAnsi="Times New Roman"/>
                <w:b/>
                <w:bCs/>
              </w:rPr>
            </w:r>
          </w:p>
          <w:p>
            <w:pPr>
              <w:pStyle w:val="BodyText"/>
              <w:widowControl w:val="false"/>
              <w:suppressAutoHyphens w:val="true"/>
              <w:spacing w:before="1" w:after="0"/>
              <w:ind w:left="0" w:right="1058"/>
              <w:jc w:val="both"/>
              <w:rPr>
                <w:rFonts w:ascii="Times New Roman" w:hAnsi="Times New Roman" w:cs="Times New Roman"/>
                <w:b/>
                <w:bCs/>
              </w:rPr>
            </w:pPr>
            <w:r>
              <w:rPr>
                <w:rFonts w:cs="Times New Roman" w:ascii="Times New Roman" w:hAnsi="Times New Roman"/>
                <w:b/>
                <w:bCs/>
              </w:rPr>
            </w:r>
          </w:p>
          <w:p>
            <w:pPr>
              <w:pStyle w:val="BodyText"/>
              <w:widowControl w:val="false"/>
              <w:suppressAutoHyphens w:val="true"/>
              <w:spacing w:before="1" w:after="0"/>
              <w:ind w:left="0" w:right="1058"/>
              <w:jc w:val="both"/>
              <w:rPr>
                <w:rFonts w:ascii="Times New Roman" w:hAnsi="Times New Roman" w:cs="Times New Roman"/>
                <w:b/>
                <w:bCs/>
              </w:rPr>
            </w:pPr>
            <w:r>
              <w:rPr>
                <w:rFonts w:cs="Times New Roman" w:ascii="Times New Roman" w:hAnsi="Times New Roman"/>
                <w:b/>
                <w:bCs/>
              </w:rPr>
            </w:r>
          </w:p>
          <w:p>
            <w:pPr>
              <w:pStyle w:val="BodyText"/>
              <w:widowControl w:val="false"/>
              <w:suppressAutoHyphens w:val="true"/>
              <w:spacing w:before="1" w:after="0"/>
              <w:ind w:left="0" w:right="1058"/>
              <w:jc w:val="both"/>
              <w:rPr>
                <w:rFonts w:ascii="Times New Roman" w:hAnsi="Times New Roman" w:cs="Times New Roman"/>
                <w:b/>
                <w:bCs/>
              </w:rPr>
            </w:pPr>
            <w:r>
              <w:rPr>
                <w:rFonts w:cs="Times New Roman" w:ascii="Times New Roman" w:hAnsi="Times New Roman"/>
                <w:b/>
                <w:bCs/>
              </w:rPr>
            </w:r>
          </w:p>
          <w:p>
            <w:pPr>
              <w:pStyle w:val="BodyText"/>
              <w:widowControl w:val="false"/>
              <w:suppressAutoHyphens w:val="true"/>
              <w:spacing w:before="1" w:after="0"/>
              <w:ind w:left="0" w:right="1058"/>
              <w:jc w:val="both"/>
              <w:rPr>
                <w:rFonts w:ascii="Times New Roman" w:hAnsi="Times New Roman" w:cs="Times New Roman"/>
                <w:b/>
                <w:bCs/>
              </w:rPr>
            </w:pPr>
            <w:r>
              <w:rPr>
                <w:rFonts w:cs="Times New Roman" w:ascii="Times New Roman" w:hAnsi="Times New Roman"/>
                <w:b/>
                <w:bCs/>
                <w:kern w:val="0"/>
                <w:sz w:val="22"/>
                <w:szCs w:val="22"/>
                <w:lang w:eastAsia="en-US" w:bidi="ar-SA"/>
              </w:rPr>
              <w:t>LAUREA TRIENNALE</w:t>
            </w:r>
          </w:p>
        </w:tc>
        <w:tc>
          <w:tcPr>
            <w:tcW w:w="4080" w:type="dxa"/>
            <w:tcBorders/>
          </w:tcPr>
          <w:p>
            <w:pPr>
              <w:pStyle w:val="BodyText"/>
              <w:widowControl w:val="false"/>
              <w:suppressAutoHyphens w:val="true"/>
              <w:spacing w:before="1" w:after="0"/>
              <w:ind w:left="0" w:right="1058"/>
              <w:jc w:val="both"/>
              <w:rPr>
                <w:rFonts w:ascii="Times New Roman" w:hAnsi="Times New Roman" w:cs="Times New Roman"/>
                <w:u w:val="single"/>
              </w:rPr>
            </w:pPr>
            <w:r>
              <w:rPr>
                <w:rFonts w:cs="Times New Roman" w:ascii="Times New Roman" w:hAnsi="Times New Roman"/>
                <w:kern w:val="0"/>
                <w:sz w:val="22"/>
                <w:szCs w:val="22"/>
                <w:u w:val="single"/>
                <w:lang w:eastAsia="en-US" w:bidi="ar-SA"/>
              </w:rPr>
              <w:t>MAX PUNTI 2</w:t>
            </w:r>
          </w:p>
          <w:p>
            <w:pPr>
              <w:pStyle w:val="BodyText"/>
              <w:widowControl w:val="false"/>
              <w:suppressAutoHyphens w:val="true"/>
              <w:spacing w:before="1" w:after="0"/>
              <w:ind w:left="0" w:right="1058"/>
              <w:jc w:val="both"/>
              <w:rPr>
                <w:rFonts w:ascii="Times New Roman" w:hAnsi="Times New Roman" w:cs="Times New Roman"/>
                <w:sz w:val="14"/>
                <w:szCs w:val="14"/>
              </w:rPr>
            </w:pPr>
            <w:r>
              <w:rPr>
                <w:rFonts w:cs="Times New Roman" w:ascii="Times New Roman" w:hAnsi="Times New Roman"/>
                <w:sz w:val="14"/>
                <w:szCs w:val="14"/>
              </w:rPr>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Voto di laurea</w:t>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&lt; 100: Punti 0,00</w:t>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da 100 a 104: Punti 1,00</w:t>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da 105 a 108: Punti 1,50</w:t>
            </w:r>
          </w:p>
          <w:p>
            <w:pPr>
              <w:pStyle w:val="BodyText"/>
              <w:widowControl w:val="false"/>
              <w:suppressAutoHyphens w:val="true"/>
              <w:spacing w:lineRule="auto" w:line="360" w:before="1" w:after="0"/>
              <w:ind w:left="0" w:right="1058"/>
              <w:jc w:val="both"/>
              <w:rPr>
                <w:rFonts w:ascii="Times New Roman" w:hAnsi="Times New Roman" w:cs="Times New Roman"/>
              </w:rPr>
            </w:pPr>
            <w:r>
              <w:rPr>
                <w:rFonts w:cs="Times New Roman" w:ascii="Times New Roman" w:hAnsi="Times New Roman"/>
                <w:kern w:val="0"/>
                <w:sz w:val="22"/>
                <w:szCs w:val="22"/>
                <w:lang w:eastAsia="en-US" w:bidi="ar-SA"/>
              </w:rPr>
              <w:t>da 109 a 110 e lode: Punti 2,00</w:t>
            </w:r>
          </w:p>
        </w:tc>
      </w:tr>
    </w:tbl>
    <w:p>
      <w:pPr>
        <w:pStyle w:val="BodyText"/>
        <w:spacing w:before="1" w:after="0"/>
        <w:ind w:left="114" w:right="1058"/>
        <w:jc w:val="both"/>
        <w:rPr>
          <w:rFonts w:ascii="Times New Roman" w:hAnsi="Times New Roman" w:cs="Times New Roman"/>
        </w:rPr>
      </w:pPr>
      <w:r>
        <w:rPr>
          <w:rFonts w:cs="Times New Roman" w:ascii="Times New Roman" w:hAnsi="Times New Roman"/>
        </w:rPr>
      </w:r>
    </w:p>
    <w:p>
      <w:pPr>
        <w:pStyle w:val="BodyText"/>
        <w:spacing w:before="120" w:after="0"/>
        <w:ind w:left="114" w:right="104"/>
        <w:jc w:val="both"/>
        <w:rPr>
          <w:rFonts w:ascii="Times New Roman" w:hAnsi="Times New Roman" w:cs="Times New Roman"/>
        </w:rPr>
      </w:pPr>
      <w:r>
        <w:rPr>
          <w:rFonts w:cs="Times New Roman" w:ascii="Times New Roman" w:hAnsi="Times New Roman"/>
        </w:rPr>
        <w:t>Nel caso di candidati in possesso sia della laurea triennale che della laurea magistrale (o del titolo equiparato del vecchio ordinamento), ai fini della valutazione verrà considerato esclusivamente il titolo più favorevole in termini di punteggio.</w:t>
      </w:r>
    </w:p>
    <w:p>
      <w:pPr>
        <w:pStyle w:val="BodyText"/>
        <w:numPr>
          <w:ilvl w:val="0"/>
          <w:numId w:val="5"/>
        </w:numPr>
        <w:spacing w:before="120" w:after="0"/>
        <w:ind w:hanging="360" w:left="834" w:right="104"/>
        <w:jc w:val="both"/>
        <w:rPr>
          <w:rFonts w:ascii="Times New Roman" w:hAnsi="Times New Roman" w:cs="Times New Roman"/>
        </w:rPr>
      </w:pPr>
      <w:r>
        <w:rPr>
          <w:rFonts w:cs="Times New Roman" w:ascii="Times New Roman" w:hAnsi="Times New Roman"/>
        </w:rPr>
        <w:t>Titoli di servizio: fino ad un massimo di 6 punti, sulla base dell’anzianità e degli incarichi ricoperti, come dalla seguente tabella:</w:t>
      </w:r>
    </w:p>
    <w:p>
      <w:pPr>
        <w:pStyle w:val="BodyText"/>
        <w:spacing w:before="11" w:after="0"/>
        <w:ind w:left="0"/>
        <w:jc w:val="both"/>
        <w:rPr>
          <w:rFonts w:ascii="Times New Roman" w:hAnsi="Times New Roman" w:cs="Times New Roman"/>
        </w:rPr>
      </w:pPr>
      <w:r>
        <w:rPr>
          <w:rFonts w:cs="Times New Roman" w:ascii="Times New Roman" w:hAnsi="Times New Roman"/>
        </w:rPr>
      </w:r>
    </w:p>
    <w:p>
      <w:pPr>
        <w:pStyle w:val="BodyText"/>
        <w:jc w:val="center"/>
        <w:rPr>
          <w:rFonts w:ascii="Times New Roman" w:hAnsi="Times New Roman" w:cs="Times New Roman"/>
          <w:b/>
          <w:bCs/>
        </w:rPr>
      </w:pPr>
      <w:r>
        <w:rPr>
          <w:rFonts w:cs="Times New Roman" w:ascii="Times New Roman" w:hAnsi="Times New Roman"/>
          <w:b/>
          <w:bCs/>
        </w:rPr>
        <w:t xml:space="preserve">TITOLI DI </w:t>
      </w:r>
      <w:r>
        <w:rPr>
          <w:rFonts w:cs="Times New Roman" w:ascii="Times New Roman" w:hAnsi="Times New Roman"/>
          <w:b/>
          <w:bCs/>
          <w:spacing w:val="-2"/>
        </w:rPr>
        <w:t>SERVIZIO</w:t>
      </w:r>
    </w:p>
    <w:p>
      <w:pPr>
        <w:pStyle w:val="BodyText"/>
        <w:spacing w:before="11" w:after="0"/>
        <w:ind w:left="0"/>
        <w:jc w:val="center"/>
        <w:rPr>
          <w:rFonts w:ascii="Times New Roman" w:hAnsi="Times New Roman" w:cs="Times New Roman"/>
          <w:b/>
          <w:bCs/>
        </w:rPr>
      </w:pPr>
      <w:r>
        <w:rPr>
          <w:rFonts w:cs="Times New Roman" w:ascii="Times New Roman" w:hAnsi="Times New Roman"/>
          <w:b/>
          <w:bCs/>
        </w:rPr>
      </w:r>
    </w:p>
    <w:tbl>
      <w:tblPr>
        <w:tblStyle w:val="Grigliatabella"/>
        <w:tblW w:w="8930" w:type="dxa"/>
        <w:jc w:val="left"/>
        <w:tblInd w:w="279" w:type="dxa"/>
        <w:tblLayout w:type="fixed"/>
        <w:tblCellMar>
          <w:top w:w="0" w:type="dxa"/>
          <w:left w:w="108" w:type="dxa"/>
          <w:bottom w:w="0" w:type="dxa"/>
          <w:right w:w="108" w:type="dxa"/>
        </w:tblCellMar>
        <w:tblLook w:firstRow="1" w:noVBand="1" w:lastRow="0" w:firstColumn="1" w:lastColumn="0" w:noHBand="0" w:val="04a0"/>
      </w:tblPr>
      <w:tblGrid>
        <w:gridCol w:w="4650"/>
        <w:gridCol w:w="4279"/>
      </w:tblGrid>
      <w:tr>
        <w:trPr/>
        <w:tc>
          <w:tcPr>
            <w:tcW w:w="4650" w:type="dxa"/>
            <w:tcBorders/>
          </w:tcPr>
          <w:p>
            <w:pPr>
              <w:pStyle w:val="BodyText"/>
              <w:widowControl w:val="false"/>
              <w:suppressAutoHyphens w:val="true"/>
              <w:spacing w:before="11" w:after="0"/>
              <w:ind w:left="0"/>
              <w:jc w:val="left"/>
              <w:rPr>
                <w:rFonts w:ascii="Times New Roman" w:hAnsi="Times New Roman" w:cs="Times New Roman"/>
              </w:rPr>
            </w:pPr>
            <w:r>
              <w:rPr>
                <w:rFonts w:cs="Times New Roman" w:ascii="Times New Roman" w:hAnsi="Times New Roman"/>
                <w:kern w:val="0"/>
                <w:sz w:val="22"/>
                <w:szCs w:val="22"/>
                <w:lang w:eastAsia="en-US" w:bidi="ar-SA"/>
              </w:rPr>
              <w:t>ANZIANITA’ DI SERVIZIO NELL’AREA DEI FUNZIONARI E DELL’ELEVATA QUALIFICAZIONE (O EX CATEGORIA D)</w:t>
            </w:r>
          </w:p>
        </w:tc>
        <w:tc>
          <w:tcPr>
            <w:tcW w:w="4279" w:type="dxa"/>
            <w:tcBorders/>
          </w:tcPr>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MAX PUNTI 2</w:t>
            </w:r>
          </w:p>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0,50 punti per ogni anno intero di</w:t>
            </w:r>
          </w:p>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servizio, fino ad un massimo di 2 punti</w:t>
            </w:r>
          </w:p>
        </w:tc>
      </w:tr>
      <w:tr>
        <w:trPr/>
        <w:tc>
          <w:tcPr>
            <w:tcW w:w="4650" w:type="dxa"/>
            <w:tcBorders/>
          </w:tcPr>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ANNI IN INCARICHI DI SPECIFICA</w:t>
            </w:r>
          </w:p>
          <w:p>
            <w:pPr>
              <w:pStyle w:val="BodyText"/>
              <w:widowControl w:val="false"/>
              <w:suppressAutoHyphens w:val="true"/>
              <w:spacing w:before="11" w:after="0"/>
              <w:ind w:left="0"/>
              <w:jc w:val="left"/>
              <w:rPr>
                <w:rFonts w:ascii="Times New Roman" w:hAnsi="Times New Roman" w:cs="Times New Roman"/>
              </w:rPr>
            </w:pPr>
            <w:r>
              <w:rPr>
                <w:rFonts w:cs="Times New Roman" w:ascii="Times New Roman" w:hAnsi="Times New Roman"/>
                <w:kern w:val="0"/>
                <w:sz w:val="22"/>
                <w:szCs w:val="22"/>
                <w:lang w:eastAsia="en-US" w:bidi="ar-SA"/>
              </w:rPr>
              <w:t>RESPONSABILITA’ FORMALMENTE CONFERITI</w:t>
            </w:r>
          </w:p>
        </w:tc>
        <w:tc>
          <w:tcPr>
            <w:tcW w:w="4279" w:type="dxa"/>
            <w:tcBorders/>
          </w:tcPr>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MAX PUNTI 1</w:t>
            </w:r>
          </w:p>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0,50 punti per ogni anno intero, fino ad un massimo di 1 punto</w:t>
            </w:r>
          </w:p>
        </w:tc>
      </w:tr>
      <w:tr>
        <w:trPr/>
        <w:tc>
          <w:tcPr>
            <w:tcW w:w="4650" w:type="dxa"/>
            <w:tcBorders/>
          </w:tcPr>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ANNI IN INCARICHI DI POSIZIONE</w:t>
            </w:r>
          </w:p>
          <w:p>
            <w:pPr>
              <w:pStyle w:val="BodyText"/>
              <w:widowControl w:val="false"/>
              <w:suppressAutoHyphens w:val="true"/>
              <w:spacing w:before="11" w:after="0"/>
              <w:ind w:left="0"/>
              <w:jc w:val="left"/>
              <w:rPr>
                <w:rFonts w:ascii="Times New Roman" w:hAnsi="Times New Roman" w:cs="Times New Roman"/>
              </w:rPr>
            </w:pPr>
            <w:r>
              <w:rPr>
                <w:rFonts w:cs="Times New Roman" w:ascii="Times New Roman" w:hAnsi="Times New Roman"/>
                <w:kern w:val="0"/>
                <w:sz w:val="22"/>
                <w:szCs w:val="22"/>
                <w:lang w:eastAsia="en-US" w:bidi="ar-SA"/>
              </w:rPr>
              <w:t>ORGANIZZATIVA (PO) O ELEVATA QUALIFICAZIONE</w:t>
            </w:r>
          </w:p>
        </w:tc>
        <w:tc>
          <w:tcPr>
            <w:tcW w:w="4279" w:type="dxa"/>
            <w:tcBorders/>
          </w:tcPr>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MAX PUNTI 2</w:t>
            </w:r>
          </w:p>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0,50 punti per ogni anno intero, fino ad un massimo di 2 punti</w:t>
            </w:r>
          </w:p>
        </w:tc>
      </w:tr>
      <w:tr>
        <w:trPr/>
        <w:tc>
          <w:tcPr>
            <w:tcW w:w="4650" w:type="dxa"/>
            <w:tcBorders/>
          </w:tcPr>
          <w:p>
            <w:pPr>
              <w:pStyle w:val="BodyText"/>
              <w:widowControl w:val="false"/>
              <w:suppressAutoHyphens w:val="true"/>
              <w:spacing w:before="11" w:after="0"/>
              <w:ind w:left="0"/>
              <w:jc w:val="left"/>
              <w:rPr>
                <w:rFonts w:ascii="Times New Roman" w:hAnsi="Times New Roman" w:cs="Times New Roman"/>
              </w:rPr>
            </w:pPr>
            <w:r>
              <w:rPr>
                <w:rFonts w:cs="Times New Roman" w:ascii="Times New Roman" w:hAnsi="Times New Roman"/>
                <w:kern w:val="0"/>
                <w:sz w:val="22"/>
                <w:szCs w:val="22"/>
                <w:lang w:eastAsia="en-US" w:bidi="ar-SA"/>
              </w:rPr>
              <w:t>IDONEITA’ CONSEGUITA IN PROCEDURE SELETTIVE PER INCARICHI EX ART. 110 COMMA 2 D.LGS. 267/2000</w:t>
            </w:r>
          </w:p>
        </w:tc>
        <w:tc>
          <w:tcPr>
            <w:tcW w:w="4279" w:type="dxa"/>
            <w:tcBorders/>
          </w:tcPr>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MAX PUNTI 1</w:t>
            </w:r>
          </w:p>
          <w:p>
            <w:pPr>
              <w:pStyle w:val="BodyText"/>
              <w:widowControl w:val="false"/>
              <w:suppressAutoHyphens w:val="true"/>
              <w:spacing w:before="11" w:after="0"/>
              <w:ind w:left="0"/>
              <w:jc w:val="both"/>
              <w:rPr>
                <w:rFonts w:ascii="Times New Roman" w:hAnsi="Times New Roman" w:cs="Times New Roman"/>
              </w:rPr>
            </w:pPr>
            <w:r>
              <w:rPr>
                <w:rFonts w:cs="Times New Roman" w:ascii="Times New Roman" w:hAnsi="Times New Roman"/>
                <w:kern w:val="0"/>
                <w:sz w:val="22"/>
                <w:szCs w:val="22"/>
                <w:lang w:eastAsia="en-US" w:bidi="ar-SA"/>
              </w:rPr>
              <w:t>0,50 punti per ogni anno intero, fino ad un massimo di 1 punto</w:t>
            </w:r>
          </w:p>
        </w:tc>
      </w:tr>
    </w:tbl>
    <w:p>
      <w:pPr>
        <w:pStyle w:val="BodyText"/>
        <w:spacing w:before="11" w:after="0"/>
        <w:ind w:left="0"/>
        <w:jc w:val="both"/>
        <w:rPr>
          <w:rFonts w:ascii="Times New Roman" w:hAnsi="Times New Roman" w:cs="Times New Roman"/>
        </w:rPr>
      </w:pPr>
      <w:r>
        <w:rPr>
          <w:rFonts w:cs="Times New Roman" w:ascii="Times New Roman" w:hAnsi="Times New Roman"/>
        </w:rPr>
      </w:r>
    </w:p>
    <w:p>
      <w:pPr>
        <w:pStyle w:val="BodyText"/>
        <w:numPr>
          <w:ilvl w:val="0"/>
          <w:numId w:val="4"/>
        </w:numPr>
        <w:spacing w:before="11" w:after="0"/>
        <w:jc w:val="both"/>
        <w:rPr>
          <w:rFonts w:ascii="Times New Roman" w:hAnsi="Times New Roman" w:cs="Times New Roman"/>
          <w:b/>
          <w:bCs/>
        </w:rPr>
      </w:pPr>
      <w:r>
        <w:rPr>
          <w:rFonts w:cs="Times New Roman" w:ascii="Times New Roman" w:hAnsi="Times New Roman"/>
          <w:b/>
          <w:bCs/>
        </w:rPr>
        <w:t>Valutazione delle competenze attitudinali, motivazionali e professionali (max 20 punti)</w:t>
      </w:r>
    </w:p>
    <w:p>
      <w:pPr>
        <w:pStyle w:val="BodyText"/>
        <w:spacing w:before="11" w:after="0"/>
        <w:ind w:left="0"/>
        <w:jc w:val="both"/>
        <w:rPr>
          <w:rFonts w:ascii="Times New Roman" w:hAnsi="Times New Roman" w:cs="Times New Roman"/>
        </w:rPr>
      </w:pPr>
      <w:r>
        <w:rPr>
          <w:rFonts w:cs="Times New Roman" w:ascii="Times New Roman" w:hAnsi="Times New Roman"/>
        </w:rPr>
      </w:r>
    </w:p>
    <w:p>
      <w:pPr>
        <w:pStyle w:val="BodyText"/>
        <w:spacing w:before="1" w:after="0"/>
        <w:jc w:val="both"/>
        <w:rPr>
          <w:rFonts w:ascii="Times New Roman" w:hAnsi="Times New Roman" w:cs="Times New Roman"/>
        </w:rPr>
      </w:pPr>
      <w:r>
        <w:rPr>
          <w:rFonts w:cs="Times New Roman" w:ascii="Times New Roman" w:hAnsi="Times New Roman"/>
        </w:rPr>
        <w:t>Le attitudini e le capacità professionali rapportate alla natura e alle caratteristiche dei programmi da realizzare saranno valutati con l’attribuzione di un punteggio ulteriore fino a un massimo di 20 punti.</w:t>
      </w:r>
    </w:p>
    <w:p>
      <w:pPr>
        <w:pStyle w:val="BodyText"/>
        <w:spacing w:before="39" w:after="0"/>
        <w:ind w:left="114" w:right="105"/>
        <w:jc w:val="both"/>
        <w:rPr>
          <w:rFonts w:ascii="Times New Roman" w:hAnsi="Times New Roman" w:cs="Times New Roman"/>
          <w:sz w:val="14"/>
          <w:szCs w:val="14"/>
        </w:rPr>
      </w:pPr>
      <w:r>
        <w:rPr>
          <w:rFonts w:cs="Times New Roman" w:ascii="Times New Roman" w:hAnsi="Times New Roman"/>
          <w:sz w:val="14"/>
          <w:szCs w:val="14"/>
        </w:rPr>
      </w:r>
    </w:p>
    <w:p>
      <w:pPr>
        <w:pStyle w:val="BodyText"/>
        <w:ind w:left="114" w:right="106"/>
        <w:jc w:val="both"/>
        <w:rPr>
          <w:rFonts w:ascii="Times New Roman" w:hAnsi="Times New Roman" w:cs="Times New Roman"/>
        </w:rPr>
      </w:pPr>
      <w:r>
        <w:rPr>
          <w:rFonts w:cs="Times New Roman" w:ascii="Times New Roman" w:hAnsi="Times New Roman"/>
        </w:rPr>
        <w:t>In particolare, saranno oggetto di valutazione:</w:t>
      </w:r>
    </w:p>
    <w:p>
      <w:pPr>
        <w:pStyle w:val="BodyText"/>
        <w:numPr>
          <w:ilvl w:val="0"/>
          <w:numId w:val="6"/>
        </w:numPr>
        <w:ind w:hanging="360" w:left="474" w:right="106"/>
        <w:jc w:val="both"/>
        <w:rPr>
          <w:rFonts w:ascii="Times New Roman" w:hAnsi="Times New Roman" w:cs="Times New Roman"/>
        </w:rPr>
      </w:pPr>
      <w:r>
        <w:rPr>
          <w:rFonts w:cs="Times New Roman" w:ascii="Times New Roman" w:hAnsi="Times New Roman"/>
        </w:rPr>
        <w:t>le capacità tecnico-professionali e le conoscenze specialistiche (incluse eventuali competenze trasversali);</w:t>
      </w:r>
    </w:p>
    <w:p>
      <w:pPr>
        <w:pStyle w:val="BodyText"/>
        <w:numPr>
          <w:ilvl w:val="0"/>
          <w:numId w:val="6"/>
        </w:numPr>
        <w:ind w:hanging="360" w:left="474" w:right="106"/>
        <w:jc w:val="both"/>
        <w:rPr>
          <w:rFonts w:ascii="Times New Roman" w:hAnsi="Times New Roman" w:cs="Times New Roman"/>
        </w:rPr>
      </w:pPr>
      <w:r>
        <w:rPr>
          <w:rFonts w:cs="Times New Roman" w:ascii="Times New Roman" w:hAnsi="Times New Roman"/>
        </w:rPr>
        <w:t>le capacità organizzative e gestionali;</w:t>
      </w:r>
    </w:p>
    <w:p>
      <w:pPr>
        <w:pStyle w:val="BodyText"/>
        <w:numPr>
          <w:ilvl w:val="0"/>
          <w:numId w:val="6"/>
        </w:numPr>
        <w:ind w:hanging="360" w:left="474" w:right="106"/>
        <w:jc w:val="both"/>
        <w:rPr>
          <w:rFonts w:ascii="Times New Roman" w:hAnsi="Times New Roman" w:cs="Times New Roman"/>
        </w:rPr>
      </w:pPr>
      <w:r>
        <w:rPr>
          <w:rFonts w:cs="Times New Roman" w:ascii="Times New Roman" w:hAnsi="Times New Roman"/>
        </w:rPr>
        <w:t>le attitudini relazionali e comunicative;</w:t>
      </w:r>
    </w:p>
    <w:p>
      <w:pPr>
        <w:pStyle w:val="BodyText"/>
        <w:numPr>
          <w:ilvl w:val="0"/>
          <w:numId w:val="6"/>
        </w:numPr>
        <w:ind w:hanging="360" w:left="474" w:right="106"/>
        <w:jc w:val="both"/>
        <w:rPr>
          <w:rFonts w:ascii="Times New Roman" w:hAnsi="Times New Roman" w:cs="Times New Roman"/>
        </w:rPr>
      </w:pPr>
      <w:r>
        <w:rPr>
          <w:rFonts w:cs="Times New Roman" w:ascii="Times New Roman" w:hAnsi="Times New Roman"/>
        </w:rPr>
        <w:t>la motivazione e le eventuali proposte di sviluppo e miglioramento riferite al servizio o al Settore di assegnazione;</w:t>
      </w:r>
    </w:p>
    <w:p>
      <w:pPr>
        <w:pStyle w:val="BodyText"/>
        <w:numPr>
          <w:ilvl w:val="0"/>
          <w:numId w:val="6"/>
        </w:numPr>
        <w:ind w:hanging="360" w:left="474" w:right="106"/>
        <w:jc w:val="both"/>
        <w:rPr>
          <w:rFonts w:ascii="Times New Roman" w:hAnsi="Times New Roman" w:cs="Times New Roman"/>
        </w:rPr>
      </w:pPr>
      <w:r>
        <w:rPr>
          <w:rFonts w:cs="Times New Roman" w:ascii="Times New Roman" w:hAnsi="Times New Roman"/>
        </w:rPr>
        <w:t xml:space="preserve">le capacità di gestione di processi complessi, la capacità di relazione e negoziazione, nonché l’attitudine al </w:t>
      </w:r>
      <w:r>
        <w:rPr>
          <w:rFonts w:cs="Times New Roman" w:ascii="Times New Roman" w:hAnsi="Times New Roman"/>
          <w:i/>
          <w:iCs/>
        </w:rPr>
        <w:t>problem solving</w:t>
      </w:r>
      <w:r>
        <w:rPr>
          <w:rFonts w:cs="Times New Roman" w:ascii="Times New Roman" w:hAnsi="Times New Roman"/>
        </w:rPr>
        <w:t>, in relazione agli incarichi da ricoprire.</w:t>
      </w:r>
    </w:p>
    <w:p>
      <w:pPr>
        <w:pStyle w:val="BodyText"/>
        <w:spacing w:lineRule="auto" w:line="276" w:before="120" w:after="0"/>
        <w:ind w:left="114" w:right="105"/>
        <w:jc w:val="both"/>
        <w:rPr>
          <w:rFonts w:ascii="Times New Roman" w:hAnsi="Times New Roman" w:cs="Times New Roman"/>
        </w:rPr>
      </w:pPr>
      <w:r>
        <w:rPr>
          <w:rFonts w:cs="Times New Roman" w:ascii="Times New Roman" w:hAnsi="Times New Roman"/>
        </w:rPr>
        <w:t>La valutazione avverrà sulla base delle esperienze dichiarate nel curriculum presentato e, a discrezione del Dirigente competente, potrà essere integrata con la convocazione dei candidati per un colloquio tecnico e motivazionale.</w:t>
      </w:r>
    </w:p>
    <w:p>
      <w:pPr>
        <w:pStyle w:val="BodyText"/>
        <w:spacing w:lineRule="auto" w:line="276" w:before="120" w:after="0"/>
        <w:ind w:left="114" w:right="105"/>
        <w:jc w:val="both"/>
        <w:rPr>
          <w:rFonts w:ascii="Times New Roman" w:hAnsi="Times New Roman" w:cs="Times New Roman"/>
        </w:rPr>
      </w:pPr>
      <w:r>
        <w:rPr>
          <w:rFonts w:cs="Times New Roman" w:ascii="Times New Roman" w:hAnsi="Times New Roman"/>
        </w:rPr>
        <w:t>La selezione e la successiva attribuzione dell’incarico avverranno secondo l’ordine di preferenza determinato nella valutazione, senza la formazione di una graduatoria formale.</w:t>
      </w:r>
    </w:p>
    <w:p>
      <w:pPr>
        <w:pStyle w:val="BodyText"/>
        <w:spacing w:lineRule="auto" w:line="276" w:before="120" w:after="0"/>
        <w:ind w:left="114" w:right="104"/>
        <w:jc w:val="both"/>
        <w:rPr>
          <w:rFonts w:ascii="Times New Roman" w:hAnsi="Times New Roman" w:cs="Times New Roman"/>
        </w:rPr>
      </w:pPr>
      <w:r>
        <w:rPr>
          <w:rFonts w:cs="Times New Roman" w:ascii="Times New Roman" w:hAnsi="Times New Roman"/>
        </w:rPr>
        <w:t>Saranno delegate, in relazione a quanto dispone l’art. 23 del Regolamento sull’Ordinamento degli Uffici e dei Servizi, ai sensi dei commi 2 e 3, e l’art. 9 del Regolamento per la individuazione e graduazione delle E.Q., con il potere di direzione, controllo e di revoca, quanto di seguito indicato:</w:t>
      </w:r>
    </w:p>
    <w:p>
      <w:pPr>
        <w:pStyle w:val="ListParagraph"/>
        <w:numPr>
          <w:ilvl w:val="0"/>
          <w:numId w:val="1"/>
        </w:numPr>
        <w:tabs>
          <w:tab w:val="clear" w:pos="720"/>
          <w:tab w:val="left" w:pos="833" w:leader="none"/>
        </w:tabs>
        <w:spacing w:before="120" w:after="0"/>
        <w:ind w:hanging="359" w:left="833"/>
        <w:rPr>
          <w:rFonts w:ascii="Times New Roman" w:hAnsi="Times New Roman" w:cs="Times New Roman"/>
        </w:rPr>
      </w:pPr>
      <w:r>
        <w:rPr>
          <w:rFonts w:cs="Times New Roman" w:ascii="Times New Roman" w:hAnsi="Times New Roman"/>
        </w:rPr>
        <w:t xml:space="preserve">la responsabilità dei procedimenti di competenza dell’Unità </w:t>
      </w:r>
      <w:r>
        <w:rPr>
          <w:rFonts w:cs="Times New Roman" w:ascii="Times New Roman" w:hAnsi="Times New Roman"/>
          <w:spacing w:val="-2"/>
        </w:rPr>
        <w:t>Organizzativa;</w:t>
      </w:r>
    </w:p>
    <w:p>
      <w:pPr>
        <w:pStyle w:val="ListParagraph"/>
        <w:numPr>
          <w:ilvl w:val="0"/>
          <w:numId w:val="1"/>
        </w:numPr>
        <w:tabs>
          <w:tab w:val="clear" w:pos="720"/>
          <w:tab w:val="left" w:pos="834" w:leader="none"/>
        </w:tabs>
        <w:spacing w:before="40" w:after="0"/>
        <w:ind w:hanging="360" w:left="834" w:right="104"/>
        <w:rPr>
          <w:rFonts w:ascii="Times New Roman" w:hAnsi="Times New Roman" w:cs="Times New Roman"/>
        </w:rPr>
      </w:pPr>
      <w:r>
        <w:rPr>
          <w:rFonts w:cs="Times New Roman" w:ascii="Times New Roman" w:hAnsi="Times New Roman"/>
        </w:rPr>
        <w:t>il coordinamento dei procedimenti di competenza dell’Unità Organizzativa dato atto che i relativi atti di gestione sono assunti dal Dirigente responsabile del Settore, nel rispetto dell’art. 107 del Tuel;</w:t>
      </w:r>
    </w:p>
    <w:p>
      <w:pPr>
        <w:pStyle w:val="ListParagraph"/>
        <w:numPr>
          <w:ilvl w:val="0"/>
          <w:numId w:val="1"/>
        </w:numPr>
        <w:tabs>
          <w:tab w:val="clear" w:pos="720"/>
          <w:tab w:val="left" w:pos="834" w:leader="none"/>
        </w:tabs>
        <w:ind w:hanging="360" w:left="834" w:right="104"/>
        <w:rPr>
          <w:rFonts w:ascii="Times New Roman" w:hAnsi="Times New Roman" w:cs="Times New Roman"/>
        </w:rPr>
      </w:pPr>
      <w:r>
        <w:rPr>
          <w:rFonts w:cs="Times New Roman" w:ascii="Times New Roman" w:hAnsi="Times New Roman"/>
        </w:rPr>
        <w:t xml:space="preserve">il coordinamento, la gestione funzionale del personale e delle risorse strutturali assegnate all’Unità </w:t>
      </w:r>
      <w:r>
        <w:rPr>
          <w:rFonts w:cs="Times New Roman" w:ascii="Times New Roman" w:hAnsi="Times New Roman"/>
          <w:spacing w:val="-2"/>
        </w:rPr>
        <w:t>Organizzativa;</w:t>
      </w:r>
    </w:p>
    <w:p>
      <w:pPr>
        <w:pStyle w:val="ListParagraph"/>
        <w:numPr>
          <w:ilvl w:val="0"/>
          <w:numId w:val="1"/>
        </w:numPr>
        <w:tabs>
          <w:tab w:val="clear" w:pos="720"/>
          <w:tab w:val="left" w:pos="834" w:leader="none"/>
        </w:tabs>
        <w:spacing w:before="5" w:after="0"/>
        <w:ind w:hanging="360" w:left="834" w:right="104"/>
        <w:rPr>
          <w:rFonts w:ascii="Times New Roman" w:hAnsi="Times New Roman" w:cs="Times New Roman"/>
        </w:rPr>
      </w:pPr>
      <w:r>
        <w:rPr>
          <w:rFonts w:cs="Times New Roman" w:ascii="Times New Roman" w:hAnsi="Times New Roman"/>
        </w:rPr>
        <w:t>la predisposizione dei relativi atti, anche di gestione finanziaria, riferiti all’Unità Organizzativa, eccetto l’assunzione degli impegni di spesa e degli accertamenti di entrate che rimangono ascritti al Dirigente ex art. 107 del Tuel;</w:t>
      </w:r>
    </w:p>
    <w:p>
      <w:pPr>
        <w:pStyle w:val="ListParagraph"/>
        <w:numPr>
          <w:ilvl w:val="0"/>
          <w:numId w:val="1"/>
        </w:numPr>
        <w:tabs>
          <w:tab w:val="clear" w:pos="720"/>
          <w:tab w:val="left" w:pos="834" w:leader="none"/>
        </w:tabs>
        <w:spacing w:before="5" w:after="0"/>
        <w:ind w:hanging="360" w:left="834" w:right="103"/>
        <w:rPr>
          <w:rFonts w:ascii="Times New Roman" w:hAnsi="Times New Roman" w:cs="Times New Roman"/>
        </w:rPr>
      </w:pPr>
      <w:r>
        <w:rPr>
          <w:rFonts w:cs="Times New Roman" w:ascii="Times New Roman" w:hAnsi="Times New Roman"/>
        </w:rPr>
        <w:t>l’assunzione di attestazioni, di certificazioni, di comunicazioni, ed ogni altro atto costituente manifestazione di conoscenza dell’Unità Organizzativa;</w:t>
      </w:r>
    </w:p>
    <w:p>
      <w:pPr>
        <w:pStyle w:val="BodyText"/>
        <w:spacing w:before="46" w:after="0"/>
        <w:ind w:left="0"/>
        <w:rPr>
          <w:rFonts w:ascii="Times New Roman" w:hAnsi="Times New Roman" w:cs="Times New Roman"/>
        </w:rPr>
      </w:pPr>
      <w:r>
        <w:rPr>
          <w:rFonts w:cs="Times New Roman" w:ascii="Times New Roman" w:hAnsi="Times New Roman"/>
        </w:rPr>
      </w:r>
    </w:p>
    <w:p>
      <w:pPr>
        <w:pStyle w:val="Titolo11"/>
        <w:spacing w:before="120" w:after="0"/>
        <w:jc w:val="center"/>
        <w:rPr>
          <w:rFonts w:ascii="Times New Roman" w:hAnsi="Times New Roman" w:cs="Times New Roman"/>
        </w:rPr>
      </w:pPr>
      <w:r>
        <w:rPr>
          <w:rFonts w:cs="Times New Roman" w:ascii="Times New Roman" w:hAnsi="Times New Roman"/>
          <w:spacing w:val="-6"/>
        </w:rPr>
        <w:t>ART. 4 - DURATA DELL’INCARICO</w:t>
      </w:r>
    </w:p>
    <w:p>
      <w:pPr>
        <w:pStyle w:val="BodyText"/>
        <w:spacing w:before="120" w:after="0"/>
        <w:jc w:val="both"/>
        <w:rPr>
          <w:rFonts w:ascii="Times New Roman" w:hAnsi="Times New Roman" w:cs="Times New Roman"/>
        </w:rPr>
      </w:pPr>
      <w:r>
        <w:rPr>
          <w:rFonts w:cs="Times New Roman" w:ascii="Times New Roman" w:hAnsi="Times New Roman"/>
        </w:rPr>
        <w:t>L’incarico è conferito per un periodo massimo non superiore a tre</w:t>
      </w:r>
      <w:r>
        <w:rPr>
          <w:rFonts w:cs="Times New Roman" w:ascii="Times New Roman" w:hAnsi="Times New Roman"/>
          <w:spacing w:val="-2"/>
        </w:rPr>
        <w:t xml:space="preserve"> anni e potrà essere rideterminato nell’indennità di posizione visto quanto statuito dall’art. 6 del vigente regolamento comunale approvato con deliberazione n. 42/2024.</w:t>
      </w:r>
    </w:p>
    <w:p>
      <w:pPr>
        <w:pStyle w:val="BodyText"/>
        <w:spacing w:lineRule="auto" w:line="276" w:before="120" w:after="0"/>
        <w:ind w:left="114" w:right="103"/>
        <w:jc w:val="both"/>
        <w:rPr>
          <w:rFonts w:ascii="Times New Roman" w:hAnsi="Times New Roman" w:cs="Times New Roman"/>
        </w:rPr>
      </w:pPr>
      <w:r>
        <w:rPr>
          <w:rFonts w:cs="Times New Roman" w:ascii="Times New Roman" w:hAnsi="Times New Roman"/>
        </w:rPr>
        <w:t>L’incarico conferito può essere revocato, con provvedimento scritto e motivato, prima della scadenza dal soggetto che ha proceduto al conferimento. La revoca dell’incarico comporta la perdita della retribuzione di posizione e di risultato.</w:t>
      </w:r>
    </w:p>
    <w:p>
      <w:pPr>
        <w:pStyle w:val="BodyText"/>
        <w:spacing w:lineRule="auto" w:line="276" w:before="120" w:after="0"/>
        <w:ind w:left="114" w:right="105"/>
        <w:jc w:val="both"/>
        <w:rPr>
          <w:rFonts w:ascii="Times New Roman" w:hAnsi="Times New Roman" w:cs="Times New Roman"/>
        </w:rPr>
      </w:pPr>
      <w:r>
        <w:rPr>
          <w:rFonts w:cs="Times New Roman" w:ascii="Times New Roman" w:hAnsi="Times New Roman"/>
        </w:rPr>
        <w:t xml:space="preserve">In caso di assenza temporanea e comunque per un periodo non inferiore a tre mesi del titolare dell’incarico di Posizione Organizzativa la stessa può essere avocata al Dirigente del settore o assegnata </w:t>
      </w:r>
      <w:r>
        <w:rPr>
          <w:rFonts w:cs="Times New Roman" w:ascii="Times New Roman" w:hAnsi="Times New Roman"/>
          <w:i/>
          <w:iCs/>
        </w:rPr>
        <w:t>ad interim</w:t>
      </w:r>
      <w:r>
        <w:rPr>
          <w:rFonts w:cs="Times New Roman" w:ascii="Times New Roman" w:hAnsi="Times New Roman"/>
        </w:rPr>
        <w:t xml:space="preserve"> ad altro titolare di Posizione Organizzativa.</w:t>
      </w:r>
    </w:p>
    <w:p>
      <w:pPr>
        <w:pStyle w:val="BodyText"/>
        <w:ind w:left="0"/>
        <w:rPr>
          <w:rFonts w:ascii="Times New Roman" w:hAnsi="Times New Roman" w:cs="Times New Roman"/>
        </w:rPr>
      </w:pPr>
      <w:r>
        <w:rPr>
          <w:rFonts w:cs="Times New Roman" w:ascii="Times New Roman" w:hAnsi="Times New Roman"/>
        </w:rPr>
      </w:r>
    </w:p>
    <w:p>
      <w:pPr>
        <w:pStyle w:val="Titolo11"/>
        <w:spacing w:before="120" w:after="0"/>
        <w:jc w:val="center"/>
        <w:rPr>
          <w:rFonts w:ascii="Times New Roman" w:hAnsi="Times New Roman" w:cs="Times New Roman"/>
        </w:rPr>
      </w:pPr>
      <w:r>
        <w:rPr>
          <w:rFonts w:cs="Times New Roman" w:ascii="Times New Roman" w:hAnsi="Times New Roman"/>
          <w:spacing w:val="-4"/>
        </w:rPr>
        <w:t>ART. 5 - PUBBLICAZIONE DELL’AVVISO</w:t>
      </w:r>
    </w:p>
    <w:p>
      <w:pPr>
        <w:pStyle w:val="BodyText"/>
        <w:spacing w:lineRule="auto" w:line="276" w:before="120" w:after="0"/>
        <w:ind w:left="114" w:right="105"/>
        <w:jc w:val="both"/>
        <w:rPr>
          <w:rFonts w:ascii="Times New Roman" w:hAnsi="Times New Roman" w:cs="Times New Roman"/>
        </w:rPr>
      </w:pPr>
      <w:r>
        <w:rPr>
          <w:rFonts w:cs="Times New Roman" w:ascii="Times New Roman" w:hAnsi="Times New Roman"/>
        </w:rPr>
        <w:t>Il presente avviso, ai fini della generale conoscenza, viene pubblicato all’Albo Pretorio dell’Ente e nella sezione Amministrazione Trasparente del sito web istituzionale, sottosezione “Bandi e Concorsi”.</w:t>
      </w:r>
    </w:p>
    <w:p>
      <w:pPr>
        <w:pStyle w:val="BodyText"/>
        <w:spacing w:lineRule="auto" w:line="276" w:before="1" w:after="0"/>
        <w:ind w:left="114" w:right="105"/>
        <w:jc w:val="both"/>
        <w:rPr>
          <w:rFonts w:ascii="Times New Roman" w:hAnsi="Times New Roman" w:cs="Times New Roman"/>
        </w:rPr>
      </w:pPr>
      <w:r>
        <w:rPr>
          <w:rFonts w:cs="Times New Roman" w:ascii="Times New Roman" w:hAnsi="Times New Roman"/>
        </w:rPr>
      </w:r>
    </w:p>
    <w:p>
      <w:pPr>
        <w:pStyle w:val="BodyText"/>
        <w:spacing w:before="40" w:after="0"/>
        <w:ind w:left="5154"/>
        <w:rPr>
          <w:rFonts w:ascii="Times New Roman" w:hAnsi="Times New Roman" w:cs="Times New Roman"/>
          <w:spacing w:val="-2"/>
        </w:rPr>
      </w:pPr>
      <w:r>
        <w:rPr>
          <w:rFonts w:cs="Times New Roman" w:ascii="Times New Roman" w:hAnsi="Times New Roman"/>
        </w:rPr>
        <w:t xml:space="preserve">         </w:t>
      </w:r>
      <w:r>
        <w:rPr>
          <w:rFonts w:cs="Times New Roman" w:ascii="Times New Roman" w:hAnsi="Times New Roman"/>
        </w:rPr>
        <w:t xml:space="preserve">Il </w:t>
      </w:r>
      <w:r>
        <w:rPr>
          <w:rFonts w:cs="Times New Roman" w:ascii="Times New Roman" w:hAnsi="Times New Roman"/>
          <w:spacing w:val="-2"/>
        </w:rPr>
        <w:t>Dirigente del Settore Autonomo di P.M.</w:t>
      </w:r>
    </w:p>
    <w:p>
      <w:pPr>
        <w:pStyle w:val="BodyText"/>
        <w:spacing w:before="40" w:after="0"/>
        <w:ind w:left="6594"/>
        <w:rPr>
          <w:rFonts w:ascii="Times New Roman" w:hAnsi="Times New Roman" w:cs="Times New Roman"/>
        </w:rPr>
      </w:pPr>
      <w:r>
        <w:rPr>
          <w:rFonts w:cs="Times New Roman" w:ascii="Times New Roman" w:hAnsi="Times New Roman"/>
        </w:rPr>
        <w:t>Dott. Gennaro Russo</w:t>
      </w:r>
    </w:p>
    <w:p>
      <w:pPr>
        <w:pStyle w:val="BodyText"/>
        <w:spacing w:before="40" w:after="0"/>
        <w:ind w:left="3119"/>
        <w:rPr>
          <w:rFonts w:ascii="Times New Roman" w:hAnsi="Times New Roman" w:cs="Times New Roman"/>
          <w:i/>
          <w:i/>
          <w:iCs/>
          <w:sz w:val="16"/>
          <w:szCs w:val="16"/>
        </w:rPr>
      </w:pPr>
      <w:r>
        <w:rPr>
          <w:rFonts w:cs="Times New Roman" w:ascii="Times New Roman" w:hAnsi="Times New Roman"/>
          <w:i/>
          <w:iCs/>
        </w:rPr>
        <w:t xml:space="preserve">                                      </w:t>
      </w:r>
      <w:r>
        <w:rPr>
          <w:rFonts w:cs="Times New Roman" w:ascii="Times New Roman" w:hAnsi="Times New Roman"/>
          <w:i/>
          <w:iCs/>
          <w:sz w:val="16"/>
          <w:szCs w:val="16"/>
        </w:rPr>
        <w:t>(Firma autografa omessa ai sensi dell'art. 3 del D.Lgs. n. 39/1993)</w:t>
      </w:r>
    </w:p>
    <w:sectPr>
      <w:footerReference w:type="even" r:id="rId4"/>
      <w:footerReference w:type="default" r:id="rId5"/>
      <w:footerReference w:type="first" r:id="rId6"/>
      <w:type w:val="nextPage"/>
      <w:pgSz w:w="11906" w:h="16838"/>
      <w:pgMar w:left="1020" w:right="1020" w:gutter="0" w:header="0" w:top="1360" w:footer="570" w:bottom="85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swiss"/>
    <w:pitch w:val="variable"/>
  </w:font>
  <w:font w:name="Tahoma">
    <w:charset w:val="00"/>
    <w:family w:val="swiss"/>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76685002"/>
    </w:sdtPr>
    <w:sdtContent>
      <w:p>
        <w:pPr>
          <w:pStyle w:val="Footer"/>
          <w:jc w:val="right"/>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76685002"/>
    </w:sdtPr>
    <w:sdtContent>
      <w:p>
        <w:pPr>
          <w:pStyle w:val="Footer"/>
          <w:jc w:val="right"/>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34" w:hanging="360"/>
      </w:pPr>
      <w:rPr>
        <w:rFonts w:ascii="Symbol" w:hAnsi="Symbol" w:cs="Symbol" w:hint="default"/>
        <w:sz w:val="22"/>
        <w:spacing w:val="0"/>
        <w:i w:val="false"/>
        <w:b w:val="false"/>
        <w:szCs w:val="22"/>
        <w:iCs w:val="false"/>
        <w:bCs w:val="false"/>
        <w:w w:val="100"/>
        <w:lang w:val="it-IT" w:eastAsia="en-US" w:bidi="ar-SA"/>
      </w:rPr>
    </w:lvl>
    <w:lvl w:ilvl="1">
      <w:start w:val="0"/>
      <w:numFmt w:val="bullet"/>
      <w:lvlText w:val=""/>
      <w:lvlJc w:val="left"/>
      <w:pPr>
        <w:tabs>
          <w:tab w:val="num" w:pos="0"/>
        </w:tabs>
        <w:ind w:left="1742" w:hanging="360"/>
      </w:pPr>
      <w:rPr>
        <w:rFonts w:ascii="Symbol" w:hAnsi="Symbol" w:cs="Symbol" w:hint="default"/>
        <w:lang w:val="it-IT" w:eastAsia="en-US" w:bidi="ar-SA"/>
      </w:rPr>
    </w:lvl>
    <w:lvl w:ilvl="2">
      <w:start w:val="0"/>
      <w:numFmt w:val="bullet"/>
      <w:lvlText w:val=""/>
      <w:lvlJc w:val="left"/>
      <w:pPr>
        <w:tabs>
          <w:tab w:val="num" w:pos="0"/>
        </w:tabs>
        <w:ind w:left="2645" w:hanging="360"/>
      </w:pPr>
      <w:rPr>
        <w:rFonts w:ascii="Symbol" w:hAnsi="Symbol" w:cs="Symbol" w:hint="default"/>
        <w:lang w:val="it-IT" w:eastAsia="en-US" w:bidi="ar-SA"/>
      </w:rPr>
    </w:lvl>
    <w:lvl w:ilvl="3">
      <w:start w:val="0"/>
      <w:numFmt w:val="bullet"/>
      <w:lvlText w:val=""/>
      <w:lvlJc w:val="left"/>
      <w:pPr>
        <w:tabs>
          <w:tab w:val="num" w:pos="0"/>
        </w:tabs>
        <w:ind w:left="3547" w:hanging="360"/>
      </w:pPr>
      <w:rPr>
        <w:rFonts w:ascii="Symbol" w:hAnsi="Symbol" w:cs="Symbol" w:hint="default"/>
        <w:lang w:val="it-IT" w:eastAsia="en-US" w:bidi="ar-SA"/>
      </w:rPr>
    </w:lvl>
    <w:lvl w:ilvl="4">
      <w:start w:val="0"/>
      <w:numFmt w:val="bullet"/>
      <w:lvlText w:val=""/>
      <w:lvlJc w:val="left"/>
      <w:pPr>
        <w:tabs>
          <w:tab w:val="num" w:pos="0"/>
        </w:tabs>
        <w:ind w:left="4450" w:hanging="360"/>
      </w:pPr>
      <w:rPr>
        <w:rFonts w:ascii="Symbol" w:hAnsi="Symbol" w:cs="Symbol" w:hint="default"/>
        <w:lang w:val="it-IT" w:eastAsia="en-US" w:bidi="ar-SA"/>
      </w:rPr>
    </w:lvl>
    <w:lvl w:ilvl="5">
      <w:start w:val="0"/>
      <w:numFmt w:val="bullet"/>
      <w:lvlText w:val=""/>
      <w:lvlJc w:val="left"/>
      <w:pPr>
        <w:tabs>
          <w:tab w:val="num" w:pos="0"/>
        </w:tabs>
        <w:ind w:left="5353" w:hanging="360"/>
      </w:pPr>
      <w:rPr>
        <w:rFonts w:ascii="Symbol" w:hAnsi="Symbol" w:cs="Symbol" w:hint="default"/>
        <w:lang w:val="it-IT" w:eastAsia="en-US" w:bidi="ar-SA"/>
      </w:rPr>
    </w:lvl>
    <w:lvl w:ilvl="6">
      <w:start w:val="0"/>
      <w:numFmt w:val="bullet"/>
      <w:lvlText w:val=""/>
      <w:lvlJc w:val="left"/>
      <w:pPr>
        <w:tabs>
          <w:tab w:val="num" w:pos="0"/>
        </w:tabs>
        <w:ind w:left="6255" w:hanging="360"/>
      </w:pPr>
      <w:rPr>
        <w:rFonts w:ascii="Symbol" w:hAnsi="Symbol" w:cs="Symbol" w:hint="default"/>
        <w:lang w:val="it-IT" w:eastAsia="en-US" w:bidi="ar-SA"/>
      </w:rPr>
    </w:lvl>
    <w:lvl w:ilvl="7">
      <w:start w:val="0"/>
      <w:numFmt w:val="bullet"/>
      <w:lvlText w:val=""/>
      <w:lvlJc w:val="left"/>
      <w:pPr>
        <w:tabs>
          <w:tab w:val="num" w:pos="0"/>
        </w:tabs>
        <w:ind w:left="7158" w:hanging="360"/>
      </w:pPr>
      <w:rPr>
        <w:rFonts w:ascii="Symbol" w:hAnsi="Symbol" w:cs="Symbol" w:hint="default"/>
        <w:lang w:val="it-IT" w:eastAsia="en-US" w:bidi="ar-SA"/>
      </w:rPr>
    </w:lvl>
    <w:lvl w:ilvl="8">
      <w:start w:val="0"/>
      <w:numFmt w:val="bullet"/>
      <w:lvlText w:val=""/>
      <w:lvlJc w:val="left"/>
      <w:pPr>
        <w:tabs>
          <w:tab w:val="num" w:pos="0"/>
        </w:tabs>
        <w:ind w:left="8060" w:hanging="360"/>
      </w:pPr>
      <w:rPr>
        <w:rFonts w:ascii="Symbol" w:hAnsi="Symbol" w:cs="Symbol" w:hint="default"/>
        <w:lang w:val="it-IT" w:eastAsia="en-US" w:bidi="ar-SA"/>
      </w:rPr>
    </w:lvl>
  </w:abstractNum>
  <w:abstractNum w:abstractNumId="2">
    <w:lvl w:ilvl="0">
      <w:start w:val="1"/>
      <w:numFmt w:val="lowerLetter"/>
      <w:lvlText w:val="%1)"/>
      <w:lvlJc w:val="left"/>
      <w:pPr>
        <w:tabs>
          <w:tab w:val="num" w:pos="0"/>
        </w:tabs>
        <w:ind w:left="693" w:hanging="360"/>
      </w:pPr>
      <w:rPr/>
    </w:lvl>
    <w:lvl w:ilvl="1">
      <w:start w:val="1"/>
      <w:numFmt w:val="lowerLetter"/>
      <w:lvlText w:val="%2."/>
      <w:lvlJc w:val="left"/>
      <w:pPr>
        <w:tabs>
          <w:tab w:val="num" w:pos="0"/>
        </w:tabs>
        <w:ind w:left="1413" w:hanging="360"/>
      </w:pPr>
      <w:rPr/>
    </w:lvl>
    <w:lvl w:ilvl="2">
      <w:start w:val="1"/>
      <w:numFmt w:val="lowerRoman"/>
      <w:lvlText w:val="%3."/>
      <w:lvlJc w:val="right"/>
      <w:pPr>
        <w:tabs>
          <w:tab w:val="num" w:pos="0"/>
        </w:tabs>
        <w:ind w:left="2133" w:hanging="180"/>
      </w:pPr>
      <w:rPr/>
    </w:lvl>
    <w:lvl w:ilvl="3">
      <w:start w:val="1"/>
      <w:numFmt w:val="decimal"/>
      <w:lvlText w:val="%4."/>
      <w:lvlJc w:val="left"/>
      <w:pPr>
        <w:tabs>
          <w:tab w:val="num" w:pos="0"/>
        </w:tabs>
        <w:ind w:left="2853" w:hanging="360"/>
      </w:pPr>
      <w:rPr/>
    </w:lvl>
    <w:lvl w:ilvl="4">
      <w:start w:val="1"/>
      <w:numFmt w:val="lowerLetter"/>
      <w:lvlText w:val="%5."/>
      <w:lvlJc w:val="left"/>
      <w:pPr>
        <w:tabs>
          <w:tab w:val="num" w:pos="0"/>
        </w:tabs>
        <w:ind w:left="3573" w:hanging="360"/>
      </w:pPr>
      <w:rPr/>
    </w:lvl>
    <w:lvl w:ilvl="5">
      <w:start w:val="1"/>
      <w:numFmt w:val="lowerRoman"/>
      <w:lvlText w:val="%6."/>
      <w:lvlJc w:val="right"/>
      <w:pPr>
        <w:tabs>
          <w:tab w:val="num" w:pos="0"/>
        </w:tabs>
        <w:ind w:left="4293" w:hanging="180"/>
      </w:pPr>
      <w:rPr/>
    </w:lvl>
    <w:lvl w:ilvl="6">
      <w:start w:val="1"/>
      <w:numFmt w:val="decimal"/>
      <w:lvlText w:val="%7."/>
      <w:lvlJc w:val="left"/>
      <w:pPr>
        <w:tabs>
          <w:tab w:val="num" w:pos="0"/>
        </w:tabs>
        <w:ind w:left="5013" w:hanging="360"/>
      </w:pPr>
      <w:rPr/>
    </w:lvl>
    <w:lvl w:ilvl="7">
      <w:start w:val="1"/>
      <w:numFmt w:val="lowerLetter"/>
      <w:lvlText w:val="%8."/>
      <w:lvlJc w:val="left"/>
      <w:pPr>
        <w:tabs>
          <w:tab w:val="num" w:pos="0"/>
        </w:tabs>
        <w:ind w:left="5733" w:hanging="360"/>
      </w:pPr>
      <w:rPr/>
    </w:lvl>
    <w:lvl w:ilvl="8">
      <w:start w:val="1"/>
      <w:numFmt w:val="lowerRoman"/>
      <w:lvlText w:val="%9."/>
      <w:lvlJc w:val="right"/>
      <w:pPr>
        <w:tabs>
          <w:tab w:val="num" w:pos="0"/>
        </w:tabs>
        <w:ind w:left="6453" w:hanging="180"/>
      </w:pPr>
      <w:rPr/>
    </w:lvl>
  </w:abstractNum>
  <w:abstractNum w:abstractNumId="3">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4">
    <w:lvl w:ilvl="0">
      <w:start w:val="1"/>
      <w:numFmt w:val="decimal"/>
      <w:lvlText w:val="%1."/>
      <w:lvlJc w:val="left"/>
      <w:pPr>
        <w:tabs>
          <w:tab w:val="num" w:pos="0"/>
        </w:tabs>
        <w:ind w:left="474" w:hanging="360"/>
      </w:pPr>
      <w:rPr/>
    </w:lvl>
    <w:lvl w:ilvl="1">
      <w:start w:val="1"/>
      <w:numFmt w:val="lowerLetter"/>
      <w:lvlText w:val="%2."/>
      <w:lvlJc w:val="left"/>
      <w:pPr>
        <w:tabs>
          <w:tab w:val="num" w:pos="0"/>
        </w:tabs>
        <w:ind w:left="1194" w:hanging="360"/>
      </w:pPr>
      <w:rPr/>
    </w:lvl>
    <w:lvl w:ilvl="2">
      <w:start w:val="1"/>
      <w:numFmt w:val="lowerRoman"/>
      <w:lvlText w:val="%3."/>
      <w:lvlJc w:val="right"/>
      <w:pPr>
        <w:tabs>
          <w:tab w:val="num" w:pos="0"/>
        </w:tabs>
        <w:ind w:left="1914" w:hanging="180"/>
      </w:pPr>
      <w:rPr/>
    </w:lvl>
    <w:lvl w:ilvl="3">
      <w:start w:val="1"/>
      <w:numFmt w:val="decimal"/>
      <w:lvlText w:val="%4."/>
      <w:lvlJc w:val="left"/>
      <w:pPr>
        <w:tabs>
          <w:tab w:val="num" w:pos="0"/>
        </w:tabs>
        <w:ind w:left="2634" w:hanging="360"/>
      </w:pPr>
      <w:rPr/>
    </w:lvl>
    <w:lvl w:ilvl="4">
      <w:start w:val="1"/>
      <w:numFmt w:val="lowerLetter"/>
      <w:lvlText w:val="%5."/>
      <w:lvlJc w:val="left"/>
      <w:pPr>
        <w:tabs>
          <w:tab w:val="num" w:pos="0"/>
        </w:tabs>
        <w:ind w:left="3354" w:hanging="360"/>
      </w:pPr>
      <w:rPr/>
    </w:lvl>
    <w:lvl w:ilvl="5">
      <w:start w:val="1"/>
      <w:numFmt w:val="lowerRoman"/>
      <w:lvlText w:val="%6."/>
      <w:lvlJc w:val="right"/>
      <w:pPr>
        <w:tabs>
          <w:tab w:val="num" w:pos="0"/>
        </w:tabs>
        <w:ind w:left="4074" w:hanging="180"/>
      </w:pPr>
      <w:rPr/>
    </w:lvl>
    <w:lvl w:ilvl="6">
      <w:start w:val="1"/>
      <w:numFmt w:val="decimal"/>
      <w:lvlText w:val="%7."/>
      <w:lvlJc w:val="left"/>
      <w:pPr>
        <w:tabs>
          <w:tab w:val="num" w:pos="0"/>
        </w:tabs>
        <w:ind w:left="4794" w:hanging="360"/>
      </w:pPr>
      <w:rPr/>
    </w:lvl>
    <w:lvl w:ilvl="7">
      <w:start w:val="1"/>
      <w:numFmt w:val="lowerLetter"/>
      <w:lvlText w:val="%8."/>
      <w:lvlJc w:val="left"/>
      <w:pPr>
        <w:tabs>
          <w:tab w:val="num" w:pos="0"/>
        </w:tabs>
        <w:ind w:left="5514" w:hanging="360"/>
      </w:pPr>
      <w:rPr/>
    </w:lvl>
    <w:lvl w:ilvl="8">
      <w:start w:val="1"/>
      <w:numFmt w:val="lowerRoman"/>
      <w:lvlText w:val="%9."/>
      <w:lvlJc w:val="right"/>
      <w:pPr>
        <w:tabs>
          <w:tab w:val="num" w:pos="0"/>
        </w:tabs>
        <w:ind w:left="6234" w:hanging="180"/>
      </w:pPr>
      <w:rPr/>
    </w:lvl>
  </w:abstractNum>
  <w:abstractNum w:abstractNumId="5">
    <w:lvl w:ilvl="0">
      <w:start w:val="1"/>
      <w:numFmt w:val="bullet"/>
      <w:lvlText w:val=""/>
      <w:lvlJc w:val="left"/>
      <w:pPr>
        <w:tabs>
          <w:tab w:val="num" w:pos="0"/>
        </w:tabs>
        <w:ind w:left="834" w:hanging="360"/>
      </w:pPr>
      <w:rPr>
        <w:rFonts w:ascii="Symbol" w:hAnsi="Symbol" w:cs="Symbol" w:hint="default"/>
      </w:rPr>
    </w:lvl>
    <w:lvl w:ilvl="1">
      <w:start w:val="1"/>
      <w:numFmt w:val="bullet"/>
      <w:lvlText w:val="o"/>
      <w:lvlJc w:val="left"/>
      <w:pPr>
        <w:tabs>
          <w:tab w:val="num" w:pos="0"/>
        </w:tabs>
        <w:ind w:left="1554" w:hanging="360"/>
      </w:pPr>
      <w:rPr>
        <w:rFonts w:ascii="Courier New" w:hAnsi="Courier New" w:cs="Courier New" w:hint="default"/>
      </w:rPr>
    </w:lvl>
    <w:lvl w:ilvl="2">
      <w:start w:val="1"/>
      <w:numFmt w:val="bullet"/>
      <w:lvlText w:val=""/>
      <w:lvlJc w:val="left"/>
      <w:pPr>
        <w:tabs>
          <w:tab w:val="num" w:pos="0"/>
        </w:tabs>
        <w:ind w:left="2274" w:hanging="360"/>
      </w:pPr>
      <w:rPr>
        <w:rFonts w:ascii="Wingdings" w:hAnsi="Wingdings" w:cs="Wingdings" w:hint="default"/>
      </w:rPr>
    </w:lvl>
    <w:lvl w:ilvl="3">
      <w:start w:val="1"/>
      <w:numFmt w:val="bullet"/>
      <w:lvlText w:val=""/>
      <w:lvlJc w:val="left"/>
      <w:pPr>
        <w:tabs>
          <w:tab w:val="num" w:pos="0"/>
        </w:tabs>
        <w:ind w:left="2994" w:hanging="360"/>
      </w:pPr>
      <w:rPr>
        <w:rFonts w:ascii="Symbol" w:hAnsi="Symbol" w:cs="Symbol" w:hint="default"/>
      </w:rPr>
    </w:lvl>
    <w:lvl w:ilvl="4">
      <w:start w:val="1"/>
      <w:numFmt w:val="bullet"/>
      <w:lvlText w:val="o"/>
      <w:lvlJc w:val="left"/>
      <w:pPr>
        <w:tabs>
          <w:tab w:val="num" w:pos="0"/>
        </w:tabs>
        <w:ind w:left="3714" w:hanging="360"/>
      </w:pPr>
      <w:rPr>
        <w:rFonts w:ascii="Courier New" w:hAnsi="Courier New" w:cs="Courier New" w:hint="default"/>
      </w:rPr>
    </w:lvl>
    <w:lvl w:ilvl="5">
      <w:start w:val="1"/>
      <w:numFmt w:val="bullet"/>
      <w:lvlText w:val=""/>
      <w:lvlJc w:val="left"/>
      <w:pPr>
        <w:tabs>
          <w:tab w:val="num" w:pos="0"/>
        </w:tabs>
        <w:ind w:left="4434" w:hanging="360"/>
      </w:pPr>
      <w:rPr>
        <w:rFonts w:ascii="Wingdings" w:hAnsi="Wingdings" w:cs="Wingdings" w:hint="default"/>
      </w:rPr>
    </w:lvl>
    <w:lvl w:ilvl="6">
      <w:start w:val="1"/>
      <w:numFmt w:val="bullet"/>
      <w:lvlText w:val=""/>
      <w:lvlJc w:val="left"/>
      <w:pPr>
        <w:tabs>
          <w:tab w:val="num" w:pos="0"/>
        </w:tabs>
        <w:ind w:left="5154" w:hanging="360"/>
      </w:pPr>
      <w:rPr>
        <w:rFonts w:ascii="Symbol" w:hAnsi="Symbol" w:cs="Symbol" w:hint="default"/>
      </w:rPr>
    </w:lvl>
    <w:lvl w:ilvl="7">
      <w:start w:val="1"/>
      <w:numFmt w:val="bullet"/>
      <w:lvlText w:val="o"/>
      <w:lvlJc w:val="left"/>
      <w:pPr>
        <w:tabs>
          <w:tab w:val="num" w:pos="0"/>
        </w:tabs>
        <w:ind w:left="5874" w:hanging="360"/>
      </w:pPr>
      <w:rPr>
        <w:rFonts w:ascii="Courier New" w:hAnsi="Courier New" w:cs="Courier New" w:hint="default"/>
      </w:rPr>
    </w:lvl>
    <w:lvl w:ilvl="8">
      <w:start w:val="1"/>
      <w:numFmt w:val="bullet"/>
      <w:lvlText w:val=""/>
      <w:lvlJc w:val="left"/>
      <w:pPr>
        <w:tabs>
          <w:tab w:val="num" w:pos="0"/>
        </w:tabs>
        <w:ind w:left="6594" w:hanging="360"/>
      </w:pPr>
      <w:rPr>
        <w:rFonts w:ascii="Wingdings" w:hAnsi="Wingdings" w:cs="Wingdings" w:hint="default"/>
      </w:rPr>
    </w:lvl>
  </w:abstractNum>
  <w:abstractNum w:abstractNumId="6">
    <w:lvl w:ilvl="0">
      <w:start w:val="1"/>
      <w:numFmt w:val="bullet"/>
      <w:lvlText w:val=""/>
      <w:lvlJc w:val="left"/>
      <w:pPr>
        <w:tabs>
          <w:tab w:val="num" w:pos="0"/>
        </w:tabs>
        <w:ind w:left="474" w:hanging="360"/>
      </w:pPr>
      <w:rPr>
        <w:rFonts w:ascii="Symbol" w:hAnsi="Symbol" w:cs="Symbol" w:hint="default"/>
      </w:rPr>
    </w:lvl>
    <w:lvl w:ilvl="1">
      <w:start w:val="1"/>
      <w:numFmt w:val="bullet"/>
      <w:lvlText w:val="o"/>
      <w:lvlJc w:val="left"/>
      <w:pPr>
        <w:tabs>
          <w:tab w:val="num" w:pos="0"/>
        </w:tabs>
        <w:ind w:left="1194" w:hanging="360"/>
      </w:pPr>
      <w:rPr>
        <w:rFonts w:ascii="Courier New" w:hAnsi="Courier New" w:cs="Courier New" w:hint="default"/>
      </w:rPr>
    </w:lvl>
    <w:lvl w:ilvl="2">
      <w:start w:val="1"/>
      <w:numFmt w:val="bullet"/>
      <w:lvlText w:val=""/>
      <w:lvlJc w:val="left"/>
      <w:pPr>
        <w:tabs>
          <w:tab w:val="num" w:pos="0"/>
        </w:tabs>
        <w:ind w:left="1914" w:hanging="360"/>
      </w:pPr>
      <w:rPr>
        <w:rFonts w:ascii="Wingdings" w:hAnsi="Wingdings" w:cs="Wingdings" w:hint="default"/>
      </w:rPr>
    </w:lvl>
    <w:lvl w:ilvl="3">
      <w:start w:val="1"/>
      <w:numFmt w:val="bullet"/>
      <w:lvlText w:val=""/>
      <w:lvlJc w:val="left"/>
      <w:pPr>
        <w:tabs>
          <w:tab w:val="num" w:pos="0"/>
        </w:tabs>
        <w:ind w:left="2634" w:hanging="360"/>
      </w:pPr>
      <w:rPr>
        <w:rFonts w:ascii="Symbol" w:hAnsi="Symbol" w:cs="Symbol" w:hint="default"/>
      </w:rPr>
    </w:lvl>
    <w:lvl w:ilvl="4">
      <w:start w:val="1"/>
      <w:numFmt w:val="bullet"/>
      <w:lvlText w:val="o"/>
      <w:lvlJc w:val="left"/>
      <w:pPr>
        <w:tabs>
          <w:tab w:val="num" w:pos="0"/>
        </w:tabs>
        <w:ind w:left="3354" w:hanging="360"/>
      </w:pPr>
      <w:rPr>
        <w:rFonts w:ascii="Courier New" w:hAnsi="Courier New" w:cs="Courier New" w:hint="default"/>
      </w:rPr>
    </w:lvl>
    <w:lvl w:ilvl="5">
      <w:start w:val="1"/>
      <w:numFmt w:val="bullet"/>
      <w:lvlText w:val=""/>
      <w:lvlJc w:val="left"/>
      <w:pPr>
        <w:tabs>
          <w:tab w:val="num" w:pos="0"/>
        </w:tabs>
        <w:ind w:left="4074" w:hanging="360"/>
      </w:pPr>
      <w:rPr>
        <w:rFonts w:ascii="Wingdings" w:hAnsi="Wingdings" w:cs="Wingdings" w:hint="default"/>
      </w:rPr>
    </w:lvl>
    <w:lvl w:ilvl="6">
      <w:start w:val="1"/>
      <w:numFmt w:val="bullet"/>
      <w:lvlText w:val=""/>
      <w:lvlJc w:val="left"/>
      <w:pPr>
        <w:tabs>
          <w:tab w:val="num" w:pos="0"/>
        </w:tabs>
        <w:ind w:left="4794" w:hanging="360"/>
      </w:pPr>
      <w:rPr>
        <w:rFonts w:ascii="Symbol" w:hAnsi="Symbol" w:cs="Symbol" w:hint="default"/>
      </w:rPr>
    </w:lvl>
    <w:lvl w:ilvl="7">
      <w:start w:val="1"/>
      <w:numFmt w:val="bullet"/>
      <w:lvlText w:val="o"/>
      <w:lvlJc w:val="left"/>
      <w:pPr>
        <w:tabs>
          <w:tab w:val="num" w:pos="0"/>
        </w:tabs>
        <w:ind w:left="5514" w:hanging="360"/>
      </w:pPr>
      <w:rPr>
        <w:rFonts w:ascii="Courier New" w:hAnsi="Courier New" w:cs="Courier New" w:hint="default"/>
      </w:rPr>
    </w:lvl>
    <w:lvl w:ilvl="8">
      <w:start w:val="1"/>
      <w:numFmt w:val="bullet"/>
      <w:lvlText w:val=""/>
      <w:lvlJc w:val="left"/>
      <w:pPr>
        <w:tabs>
          <w:tab w:val="num" w:pos="0"/>
        </w:tabs>
        <w:ind w:left="6234" w:hanging="36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8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3917a0"/>
    <w:pPr>
      <w:widowControl w:val="false"/>
      <w:suppressAutoHyphens w:val="true"/>
      <w:bidi w:val="0"/>
      <w:spacing w:before="0" w:after="0"/>
      <w:jc w:val="left"/>
    </w:pPr>
    <w:rPr>
      <w:rFonts w:ascii="Calibri Light" w:hAnsi="Calibri Light" w:eastAsia="Calibri Light" w:cs="Calibri Light"/>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BalloonText"/>
    <w:uiPriority w:val="99"/>
    <w:semiHidden/>
    <w:qFormat/>
    <w:rsid w:val="00cf3958"/>
    <w:rPr>
      <w:rFonts w:ascii="Tahoma" w:hAnsi="Tahoma" w:eastAsia="Calibri Light" w:cs="Tahoma"/>
      <w:sz w:val="16"/>
      <w:szCs w:val="16"/>
      <w:lang w:val="it-IT"/>
    </w:rPr>
  </w:style>
  <w:style w:type="character" w:styleId="Hyperlink">
    <w:name w:val="Hyperlink"/>
    <w:basedOn w:val="DefaultParagraphFont"/>
    <w:uiPriority w:val="99"/>
    <w:unhideWhenUsed/>
    <w:rsid w:val="00897b51"/>
    <w:rPr>
      <w:color w:themeColor="hyperlink" w:val="0000FF"/>
      <w:u w:val="single"/>
    </w:rPr>
  </w:style>
  <w:style w:type="character" w:styleId="Titolo3" w:customStyle="1">
    <w:name w:val="Titolo #3_"/>
    <w:basedOn w:val="DefaultParagraphFont"/>
    <w:link w:val="Titolo31"/>
    <w:qFormat/>
    <w:rsid w:val="00313c75"/>
    <w:rPr>
      <w:rFonts w:ascii="Arial" w:hAnsi="Arial" w:eastAsia="Arial" w:cs="Arial"/>
      <w:b/>
      <w:bCs/>
      <w:shd w:fill="FFFFFF" w:val="clear"/>
    </w:rPr>
  </w:style>
  <w:style w:type="character" w:styleId="IntestazioneCarattere" w:customStyle="1">
    <w:name w:val="Intestazione Carattere"/>
    <w:basedOn w:val="DefaultParagraphFont"/>
    <w:uiPriority w:val="99"/>
    <w:qFormat/>
    <w:rsid w:val="00e85427"/>
    <w:rPr>
      <w:rFonts w:ascii="Calibri Light" w:hAnsi="Calibri Light" w:eastAsia="Calibri Light" w:cs="Calibri Light"/>
      <w:lang w:val="it-IT"/>
    </w:rPr>
  </w:style>
  <w:style w:type="character" w:styleId="PidipaginaCarattere" w:customStyle="1">
    <w:name w:val="Piè di pagina Carattere"/>
    <w:basedOn w:val="DefaultParagraphFont"/>
    <w:uiPriority w:val="99"/>
    <w:qFormat/>
    <w:rsid w:val="00e85427"/>
    <w:rPr>
      <w:rFonts w:ascii="Calibri Light" w:hAnsi="Calibri Light" w:eastAsia="Calibri Light" w:cs="Calibri Light"/>
      <w:lang w:val="it-IT"/>
    </w:rPr>
  </w:style>
  <w:style w:type="character" w:styleId="Corpodeltesto8" w:customStyle="1">
    <w:name w:val="Corpo del testo (8)_"/>
    <w:basedOn w:val="DefaultParagraphFont"/>
    <w:link w:val="Corpodeltesto81"/>
    <w:uiPriority w:val="99"/>
    <w:qFormat/>
    <w:rsid w:val="008960ee"/>
    <w:rPr>
      <w:rFonts w:ascii="Calibri" w:hAnsi="Calibri" w:cs="Calibri"/>
      <w:shd w:fill="FFFFFF" w:val="clear"/>
    </w:rPr>
  </w:style>
  <w:style w:type="character" w:styleId="Corpodeltesto9" w:customStyle="1">
    <w:name w:val="Corpo del testo (9)_"/>
    <w:basedOn w:val="DefaultParagraphFont"/>
    <w:link w:val="Corpodeltesto91"/>
    <w:uiPriority w:val="99"/>
    <w:qFormat/>
    <w:rsid w:val="008960ee"/>
    <w:rPr>
      <w:rFonts w:ascii="Calibri" w:hAnsi="Calibri" w:cs="Calibri"/>
      <w:sz w:val="21"/>
      <w:szCs w:val="21"/>
      <w:shd w:fill="FFFFFF" w:val="clea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rsid w:val="003917a0"/>
    <w:pPr>
      <w:ind w:left="114"/>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Titolo11" w:customStyle="1">
    <w:name w:val="Titolo 11"/>
    <w:basedOn w:val="Normal"/>
    <w:uiPriority w:val="1"/>
    <w:qFormat/>
    <w:rsid w:val="003917a0"/>
    <w:pPr>
      <w:ind w:left="114"/>
      <w:outlineLvl w:val="1"/>
    </w:pPr>
    <w:rPr>
      <w:rFonts w:ascii="Calibri" w:hAnsi="Calibri" w:eastAsia="Calibri" w:cs="Calibri"/>
      <w:b/>
      <w:bCs/>
    </w:rPr>
  </w:style>
  <w:style w:type="paragraph" w:styleId="Title">
    <w:name w:val="Title"/>
    <w:basedOn w:val="Normal"/>
    <w:uiPriority w:val="1"/>
    <w:qFormat/>
    <w:rsid w:val="003917a0"/>
    <w:pPr>
      <w:spacing w:before="196" w:after="0"/>
      <w:ind w:left="7"/>
      <w:jc w:val="center"/>
    </w:pPr>
    <w:rPr>
      <w:rFonts w:ascii="Calibri" w:hAnsi="Calibri" w:eastAsia="Calibri" w:cs="Calibri"/>
      <w:b/>
      <w:bCs/>
      <w:sz w:val="40"/>
      <w:szCs w:val="40"/>
    </w:rPr>
  </w:style>
  <w:style w:type="paragraph" w:styleId="ListParagraph">
    <w:name w:val="List Paragraph"/>
    <w:basedOn w:val="Normal"/>
    <w:uiPriority w:val="1"/>
    <w:qFormat/>
    <w:rsid w:val="003917a0"/>
    <w:pPr>
      <w:ind w:hanging="360" w:left="834"/>
      <w:jc w:val="both"/>
    </w:pPr>
    <w:rPr/>
  </w:style>
  <w:style w:type="paragraph" w:styleId="TableParagraph" w:customStyle="1">
    <w:name w:val="Table Paragraph"/>
    <w:basedOn w:val="Normal"/>
    <w:uiPriority w:val="1"/>
    <w:qFormat/>
    <w:rsid w:val="003917a0"/>
    <w:pPr/>
    <w:rPr/>
  </w:style>
  <w:style w:type="paragraph" w:styleId="BalloonText">
    <w:name w:val="Balloon Text"/>
    <w:basedOn w:val="Normal"/>
    <w:link w:val="TestofumettoCarattere"/>
    <w:uiPriority w:val="99"/>
    <w:semiHidden/>
    <w:unhideWhenUsed/>
    <w:qFormat/>
    <w:rsid w:val="00cf3958"/>
    <w:pPr/>
    <w:rPr>
      <w:rFonts w:ascii="Tahoma" w:hAnsi="Tahoma" w:cs="Tahoma"/>
      <w:sz w:val="16"/>
      <w:szCs w:val="16"/>
    </w:rPr>
  </w:style>
  <w:style w:type="paragraph" w:styleId="Titolo31" w:customStyle="1">
    <w:name w:val="Titolo #3"/>
    <w:basedOn w:val="Normal"/>
    <w:link w:val="Titolo3"/>
    <w:qFormat/>
    <w:rsid w:val="00313c75"/>
    <w:pPr>
      <w:shd w:val="clear" w:color="auto" w:fill="FFFFFF"/>
      <w:spacing w:lineRule="atLeast" w:line="0"/>
      <w:jc w:val="center"/>
      <w:outlineLvl w:val="2"/>
    </w:pPr>
    <w:rPr>
      <w:rFonts w:ascii="Arial" w:hAnsi="Arial" w:eastAsia="Arial" w:cs="Arial"/>
      <w:b/>
      <w:bCs/>
      <w:lang w:val="en-US"/>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Normal"/>
    <w:link w:val="IntestazioneCarattere"/>
    <w:uiPriority w:val="99"/>
    <w:unhideWhenUsed/>
    <w:rsid w:val="00e85427"/>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e85427"/>
    <w:pPr>
      <w:tabs>
        <w:tab w:val="clear" w:pos="720"/>
        <w:tab w:val="center" w:pos="4819" w:leader="none"/>
        <w:tab w:val="right" w:pos="9638" w:leader="none"/>
      </w:tabs>
    </w:pPr>
    <w:rPr/>
  </w:style>
  <w:style w:type="paragraph" w:styleId="Corpodeltesto81" w:customStyle="1">
    <w:name w:val="Corpo del testo (8)1"/>
    <w:basedOn w:val="Normal"/>
    <w:link w:val="Corpodeltesto8"/>
    <w:uiPriority w:val="99"/>
    <w:qFormat/>
    <w:rsid w:val="008960ee"/>
    <w:pPr>
      <w:shd w:val="clear" w:color="auto" w:fill="FFFFFF"/>
      <w:spacing w:lineRule="exact" w:line="293"/>
      <w:ind w:hanging="1300"/>
    </w:pPr>
    <w:rPr>
      <w:rFonts w:ascii="Calibri" w:hAnsi="Calibri" w:eastAsia="Calibri" w:cs="Calibri" w:eastAsiaTheme="minorHAnsi"/>
      <w:lang w:val="en-US"/>
    </w:rPr>
  </w:style>
  <w:style w:type="paragraph" w:styleId="Corpodeltesto91" w:customStyle="1">
    <w:name w:val="Corpo del testo (9)1"/>
    <w:basedOn w:val="Normal"/>
    <w:link w:val="Corpodeltesto9"/>
    <w:uiPriority w:val="99"/>
    <w:qFormat/>
    <w:rsid w:val="008960ee"/>
    <w:pPr>
      <w:shd w:val="clear" w:color="auto" w:fill="FFFFFF"/>
      <w:spacing w:lineRule="exact" w:line="269"/>
      <w:ind w:hanging="360"/>
      <w:jc w:val="both"/>
    </w:pPr>
    <w:rPr>
      <w:rFonts w:ascii="Calibri" w:hAnsi="Calibri" w:eastAsia="Calibri" w:cs="Calibri" w:eastAsiaTheme="minorHAnsi"/>
      <w:sz w:val="21"/>
      <w:szCs w:val="21"/>
      <w:lang w:val="en-US"/>
    </w:rPr>
  </w:style>
  <w:style w:type="paragraph" w:styleId="Textbody" w:customStyle="1">
    <w:name w:val="Text body"/>
    <w:basedOn w:val="Normal"/>
    <w:qFormat/>
    <w:rsid w:val="008464bc"/>
    <w:pPr>
      <w:widowControl/>
      <w:suppressAutoHyphens w:val="true"/>
      <w:spacing w:lineRule="auto" w:line="276" w:before="0" w:after="140"/>
      <w:textAlignment w:val="baseline"/>
    </w:pPr>
    <w:rPr>
      <w:rFonts w:ascii="Liberation Serif" w:hAnsi="Liberation Serif" w:eastAsia="NSimSun" w:cs="Lucida Sans"/>
      <w:kern w:val="2"/>
      <w:sz w:val="24"/>
      <w:szCs w:val="24"/>
      <w:lang w:eastAsia="zh-CN" w:bidi="hi-IN"/>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3917a0"/>
    <w:tblPr>
      <w:tblCellMar>
        <w:top w:w="0" w:type="dxa"/>
        <w:left w:w="0" w:type="dxa"/>
        <w:bottom w:w="0" w:type="dxa"/>
        <w:right w:w="0" w:type="dxa"/>
      </w:tblCellMar>
    </w:tblPr>
  </w:style>
  <w:style w:type="table" w:styleId="Grigliatabella">
    <w:name w:val="Table Grid"/>
    <w:basedOn w:val="Tabellanormale"/>
    <w:uiPriority w:val="59"/>
    <w:rsid w:val="00b116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torredelgreco@asmepec.it"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CC842-765B-445F-AD7C-F698E7717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Application>LibreOffice/25.2.6.2$Windows_X86_64 LibreOffice_project/729c5bfe710f5eb71ed3bbde9e06a6065e9c6c5d</Application>
  <AppVersion>15.0000</AppVersion>
  <Pages>4</Pages>
  <Words>1519</Words>
  <Characters>8892</Characters>
  <CharactersWithSpaces>10346</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2025-10-29T06:15:00Z</dcterms:created>
  <dc:creator>luisa.vitiello</dc:creator>
  <dc:description/>
  <dc:language>it-IT</dc:language>
  <cp:lastModifiedBy/>
  <cp:lastPrinted>2024-10-02T09:49:00Z</cp:lastPrinted>
  <dcterms:modified xsi:type="dcterms:W3CDTF">2025-11-03T11:47:33Z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LibreOffice/7.4.3.2$Windows_X86_64 LibreOffice_project/1048a8393ae2eeec98dff31b5c133c5f1d08b890</vt:lpwstr>
  </property>
  <property fmtid="{D5CDD505-2E9C-101B-9397-08002B2CF9AE}" pid="4" name="LastSaved">
    <vt:filetime>2024-09-19T00:00:00Z</vt:filetime>
  </property>
  <property fmtid="{D5CDD505-2E9C-101B-9397-08002B2CF9AE}" pid="5" name="Producer">
    <vt:lpwstr>Aspose.Words for Java 23.5.0</vt:lpwstr>
  </property>
</Properties>
</file>